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ind w:firstLine="645"/>
        <w:jc w:val="right"/>
        <w:textAlignment w:val="baseline"/>
        <w:rPr>
          <w:rFonts w:hint="default" w:ascii="Times New Roman" w:hAnsi="Times New Roman" w:eastAsia="仿宋_GB2312" w:cs="Times New Roman"/>
          <w:sz w:val="32"/>
          <w:szCs w:val="32"/>
        </w:rPr>
      </w:pPr>
    </w:p>
    <w:p>
      <w:pPr>
        <w:widowControl/>
        <w:spacing w:line="600" w:lineRule="exact"/>
        <w:ind w:firstLine="645"/>
        <w:jc w:val="right"/>
        <w:textAlignment w:val="baseline"/>
        <w:rPr>
          <w:rFonts w:hint="default" w:ascii="Times New Roman" w:hAnsi="Times New Roman" w:eastAsia="仿宋_GB2312" w:cs="Times New Roman"/>
          <w:sz w:val="32"/>
          <w:szCs w:val="32"/>
        </w:rPr>
      </w:pPr>
    </w:p>
    <w:p>
      <w:pPr>
        <w:widowControl/>
        <w:spacing w:line="600" w:lineRule="exact"/>
        <w:ind w:firstLine="645"/>
        <w:jc w:val="righ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粤府土审（02）〔20</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138</w:t>
      </w:r>
      <w:r>
        <w:rPr>
          <w:rFonts w:hint="default" w:ascii="Times New Roman" w:hAnsi="Times New Roman" w:eastAsia="仿宋_GB2312" w:cs="Times New Roman"/>
          <w:sz w:val="32"/>
          <w:szCs w:val="32"/>
        </w:rPr>
        <w:t>号</w:t>
      </w:r>
    </w:p>
    <w:p>
      <w:pPr>
        <w:spacing w:line="600" w:lineRule="exact"/>
        <w:jc w:val="center"/>
        <w:rPr>
          <w:rFonts w:hint="default" w:ascii="Times New Roman" w:hAnsi="Times New Roman" w:eastAsia="方正小标宋简体" w:cs="Times New Roman"/>
          <w:bCs/>
          <w:sz w:val="44"/>
          <w:szCs w:val="44"/>
        </w:rPr>
      </w:pPr>
    </w:p>
    <w:p>
      <w:pPr>
        <w:spacing w:line="600" w:lineRule="exact"/>
        <w:jc w:val="center"/>
        <w:rPr>
          <w:rFonts w:hint="eastAsia" w:ascii="方正小标宋_GBK" w:hAnsi="方正小标宋_GBK" w:eastAsia="方正小标宋_GBK" w:cs="方正小标宋_GBK"/>
          <w:bCs/>
          <w:sz w:val="44"/>
          <w:szCs w:val="44"/>
        </w:rPr>
      </w:pPr>
      <w:bookmarkStart w:id="0" w:name="_GoBack"/>
      <w:r>
        <w:rPr>
          <w:rFonts w:hint="eastAsia" w:ascii="方正小标宋_GBK" w:hAnsi="方正小标宋_GBK" w:eastAsia="方正小标宋_GBK" w:cs="方正小标宋_GBK"/>
          <w:bCs/>
          <w:sz w:val="44"/>
          <w:szCs w:val="44"/>
        </w:rPr>
        <w:t>广东省人民政府关于广州市</w:t>
      </w:r>
      <w:r>
        <w:rPr>
          <w:rFonts w:hint="eastAsia" w:ascii="方正小标宋_GBK" w:hAnsi="方正小标宋_GBK" w:eastAsia="方正小标宋_GBK" w:cs="方正小标宋_GBK"/>
          <w:bCs/>
          <w:sz w:val="44"/>
          <w:szCs w:val="44"/>
          <w:lang w:val="en-US" w:eastAsia="zh-CN"/>
        </w:rPr>
        <w:t>2020</w:t>
      </w:r>
      <w:r>
        <w:rPr>
          <w:rFonts w:hint="eastAsia" w:ascii="方正小标宋_GBK" w:hAnsi="方正小标宋_GBK" w:eastAsia="方正小标宋_GBK" w:cs="方正小标宋_GBK"/>
          <w:bCs/>
          <w:sz w:val="44"/>
          <w:szCs w:val="44"/>
        </w:rPr>
        <w:t>年度</w:t>
      </w:r>
    </w:p>
    <w:p>
      <w:pPr>
        <w:spacing w:line="60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第</w:t>
      </w:r>
      <w:r>
        <w:rPr>
          <w:rFonts w:hint="eastAsia" w:ascii="方正小标宋_GBK" w:hAnsi="方正小标宋_GBK" w:eastAsia="方正小标宋_GBK" w:cs="方正小标宋_GBK"/>
          <w:bCs/>
          <w:sz w:val="44"/>
          <w:szCs w:val="44"/>
          <w:lang w:val="en-US" w:eastAsia="zh-CN"/>
        </w:rPr>
        <w:t>一</w:t>
      </w:r>
      <w:r>
        <w:rPr>
          <w:rFonts w:hint="eastAsia" w:ascii="方正小标宋_GBK" w:hAnsi="方正小标宋_GBK" w:eastAsia="方正小标宋_GBK" w:cs="方正小标宋_GBK"/>
          <w:bCs/>
          <w:sz w:val="44"/>
          <w:szCs w:val="44"/>
        </w:rPr>
        <w:t>批次城镇建设用地的批复</w:t>
      </w:r>
    </w:p>
    <w:bookmarkEnd w:id="0"/>
    <w:p>
      <w:pPr>
        <w:widowControl/>
        <w:spacing w:line="600" w:lineRule="exact"/>
        <w:jc w:val="left"/>
        <w:textAlignment w:val="baseline"/>
        <w:rPr>
          <w:rFonts w:hint="default" w:ascii="Times New Roman" w:hAnsi="Times New Roman" w:eastAsia="仿宋_GB2312" w:cs="Times New Roman"/>
          <w:sz w:val="32"/>
          <w:szCs w:val="32"/>
        </w:rPr>
      </w:pPr>
    </w:p>
    <w:p>
      <w:pPr>
        <w:widowControl/>
        <w:spacing w:line="600" w:lineRule="exact"/>
        <w:jc w:val="left"/>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广州市人民政府：</w:t>
      </w:r>
    </w:p>
    <w:p>
      <w:pPr>
        <w:widowControl/>
        <w:spacing w:line="600" w:lineRule="exact"/>
        <w:ind w:firstLine="645"/>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《关于审批广州市</w:t>
      </w:r>
      <w:r>
        <w:rPr>
          <w:rFonts w:hint="default" w:ascii="Times New Roman" w:hAnsi="Times New Roman" w:eastAsia="仿宋_GB2312" w:cs="Times New Roman"/>
          <w:sz w:val="32"/>
          <w:szCs w:val="32"/>
          <w:lang w:val="en-US" w:eastAsia="zh-CN"/>
        </w:rPr>
        <w:t>2020</w:t>
      </w:r>
      <w:r>
        <w:rPr>
          <w:rFonts w:hint="default" w:ascii="Times New Roman" w:hAnsi="Times New Roman" w:eastAsia="仿宋_GB2312" w:cs="Times New Roman"/>
          <w:sz w:val="32"/>
          <w:szCs w:val="32"/>
        </w:rPr>
        <w:t>年度第</w:t>
      </w: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批次城镇建设用地的请示》（</w:t>
      </w:r>
      <w:r>
        <w:rPr>
          <w:rFonts w:hint="default" w:ascii="Times New Roman" w:hAnsi="Times New Roman" w:eastAsia="仿宋_GB2312" w:cs="Times New Roman"/>
          <w:color w:val="auto"/>
          <w:sz w:val="32"/>
          <w:szCs w:val="32"/>
          <w:highlight w:val="none"/>
          <w:u w:val="none"/>
          <w:lang w:eastAsia="zh-CN"/>
        </w:rPr>
        <w:t>穗规划资源（用地）报</w:t>
      </w: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仿宋_GB2312" w:cs="Times New Roman"/>
          <w:color w:val="auto"/>
          <w:sz w:val="32"/>
          <w:szCs w:val="32"/>
          <w:highlight w:val="none"/>
          <w:u w:val="none"/>
          <w:lang w:val="en-US" w:eastAsia="zh-CN"/>
        </w:rPr>
        <w:t>2020</w:t>
      </w: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仿宋_GB2312" w:cs="Times New Roman"/>
          <w:color w:val="auto"/>
          <w:sz w:val="32"/>
          <w:szCs w:val="32"/>
          <w:highlight w:val="none"/>
          <w:u w:val="none"/>
          <w:lang w:val="en-US" w:eastAsia="zh-CN"/>
        </w:rPr>
        <w:t>175</w:t>
      </w:r>
      <w:r>
        <w:rPr>
          <w:rFonts w:hint="default" w:ascii="Times New Roman" w:hAnsi="Times New Roman" w:eastAsia="仿宋_GB2312" w:cs="Times New Roman"/>
          <w:color w:val="auto"/>
          <w:sz w:val="32"/>
          <w:szCs w:val="32"/>
          <w:highlight w:val="none"/>
          <w:u w:val="none"/>
        </w:rPr>
        <w:t>号</w:t>
      </w:r>
      <w:r>
        <w:rPr>
          <w:rFonts w:hint="default" w:ascii="Times New Roman" w:hAnsi="Times New Roman" w:eastAsia="仿宋_GB2312" w:cs="Times New Roman"/>
          <w:sz w:val="32"/>
          <w:szCs w:val="32"/>
        </w:rPr>
        <w:t>）及相关材料已通过审核。</w:t>
      </w:r>
      <w:r>
        <w:rPr>
          <w:rFonts w:hint="default" w:ascii="Times New Roman" w:hAnsi="Times New Roman" w:eastAsia="仿宋_GB2312" w:cs="Times New Roman"/>
          <w:sz w:val="32"/>
          <w:szCs w:val="32"/>
          <w:u w:val="none"/>
        </w:rPr>
        <w:t>根据《中华人民共和国土地管理法》第四十四、</w:t>
      </w:r>
      <w:r>
        <w:rPr>
          <w:rFonts w:hint="default" w:ascii="Times New Roman" w:hAnsi="Times New Roman" w:eastAsia="仿宋_GB2312" w:cs="Times New Roman"/>
          <w:sz w:val="32"/>
          <w:szCs w:val="32"/>
          <w:u w:val="none"/>
          <w:lang w:eastAsia="zh-CN"/>
        </w:rPr>
        <w:t>四十五、</w:t>
      </w:r>
      <w:r>
        <w:rPr>
          <w:rFonts w:hint="default" w:ascii="Times New Roman" w:hAnsi="Times New Roman" w:eastAsia="仿宋_GB2312" w:cs="Times New Roman"/>
          <w:sz w:val="32"/>
          <w:szCs w:val="32"/>
          <w:u w:val="none"/>
        </w:rPr>
        <w:t>四十</w:t>
      </w:r>
      <w:r>
        <w:rPr>
          <w:rFonts w:hint="default" w:ascii="Times New Roman" w:hAnsi="Times New Roman" w:eastAsia="仿宋_GB2312" w:cs="Times New Roman"/>
          <w:sz w:val="32"/>
          <w:szCs w:val="32"/>
          <w:u w:val="none"/>
          <w:lang w:val="en-US" w:eastAsia="zh-CN"/>
        </w:rPr>
        <w:t>六</w:t>
      </w:r>
      <w:r>
        <w:rPr>
          <w:rFonts w:hint="default" w:ascii="Times New Roman" w:hAnsi="Times New Roman" w:eastAsia="仿宋_GB2312" w:cs="Times New Roman"/>
          <w:sz w:val="32"/>
          <w:szCs w:val="32"/>
          <w:u w:val="none"/>
        </w:rPr>
        <w:t>条</w:t>
      </w:r>
      <w:r>
        <w:rPr>
          <w:rFonts w:hint="default" w:ascii="Times New Roman" w:hAnsi="Times New Roman" w:eastAsia="仿宋_GB2312" w:cs="Times New Roman"/>
          <w:sz w:val="32"/>
          <w:szCs w:val="32"/>
        </w:rPr>
        <w:t>的有关规定，批复如下：</w:t>
      </w:r>
    </w:p>
    <w:p>
      <w:pPr>
        <w:widowControl/>
        <w:numPr>
          <w:ilvl w:val="0"/>
          <w:numId w:val="1"/>
        </w:numPr>
        <w:spacing w:line="600" w:lineRule="exact"/>
        <w:ind w:firstLine="645"/>
        <w:textAlignment w:val="baseline"/>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同意上报的征收土地方案。同意你市将</w:t>
      </w:r>
      <w:r>
        <w:rPr>
          <w:rFonts w:hint="default" w:ascii="Times New Roman" w:hAnsi="Times New Roman" w:eastAsia="仿宋_GB2312" w:cs="Times New Roman"/>
          <w:sz w:val="32"/>
          <w:szCs w:val="32"/>
          <w:u w:val="none"/>
          <w:lang w:eastAsia="zh-CN"/>
        </w:rPr>
        <w:t>天河</w:t>
      </w:r>
      <w:r>
        <w:rPr>
          <w:rFonts w:hint="default" w:ascii="Times New Roman" w:hAnsi="Times New Roman" w:eastAsia="仿宋_GB2312" w:cs="Times New Roman"/>
          <w:sz w:val="32"/>
          <w:szCs w:val="32"/>
          <w:u w:val="none"/>
        </w:rPr>
        <w:t>区</w:t>
      </w:r>
      <w:r>
        <w:rPr>
          <w:rFonts w:hint="default" w:ascii="Times New Roman" w:hAnsi="Times New Roman" w:eastAsia="仿宋_GB2312" w:cs="Times New Roman"/>
          <w:sz w:val="32"/>
          <w:szCs w:val="32"/>
          <w:u w:val="none"/>
          <w:lang w:eastAsia="zh-CN"/>
        </w:rPr>
        <w:t>车陂</w:t>
      </w:r>
      <w:r>
        <w:rPr>
          <w:rFonts w:hint="default" w:ascii="Times New Roman" w:hAnsi="Times New Roman" w:eastAsia="仿宋_GB2312" w:cs="Times New Roman"/>
          <w:sz w:val="32"/>
          <w:szCs w:val="32"/>
          <w:u w:val="none"/>
        </w:rPr>
        <w:t>街</w:t>
      </w:r>
      <w:r>
        <w:rPr>
          <w:rFonts w:hint="default" w:ascii="Times New Roman" w:hAnsi="Times New Roman" w:eastAsia="仿宋_GB2312" w:cs="Times New Roman"/>
          <w:sz w:val="32"/>
          <w:szCs w:val="32"/>
          <w:u w:val="none"/>
          <w:lang w:eastAsia="zh-CN"/>
        </w:rPr>
        <w:t>车陂股份合作经济联社</w:t>
      </w:r>
      <w:r>
        <w:rPr>
          <w:rFonts w:hint="default" w:ascii="Times New Roman" w:hAnsi="Times New Roman" w:eastAsia="仿宋_GB2312" w:cs="Times New Roman"/>
          <w:sz w:val="32"/>
          <w:szCs w:val="32"/>
          <w:u w:val="none"/>
        </w:rPr>
        <w:t>属下的集体建设用地</w:t>
      </w:r>
      <w:r>
        <w:rPr>
          <w:rFonts w:hint="default" w:ascii="Times New Roman" w:hAnsi="Times New Roman" w:eastAsia="仿宋_GB2312" w:cs="Times New Roman"/>
          <w:sz w:val="32"/>
          <w:szCs w:val="32"/>
          <w:u w:val="none"/>
          <w:lang w:val="en-US" w:eastAsia="zh-CN"/>
        </w:rPr>
        <w:t>14.1342</w:t>
      </w:r>
      <w:r>
        <w:rPr>
          <w:rFonts w:hint="default" w:ascii="Times New Roman" w:hAnsi="Times New Roman" w:eastAsia="仿宋_GB2312" w:cs="Times New Roman"/>
          <w:sz w:val="32"/>
          <w:szCs w:val="32"/>
          <w:u w:val="none"/>
        </w:rPr>
        <w:t>公顷一并办理征收为国有土地手续</w:t>
      </w:r>
      <w:r>
        <w:rPr>
          <w:rFonts w:hint="default" w:ascii="Times New Roman" w:hAnsi="Times New Roman" w:eastAsia="仿宋" w:cs="Times New Roman"/>
          <w:sz w:val="32"/>
          <w:u w:val="none"/>
          <w:lang w:eastAsia="zh-CN"/>
        </w:rPr>
        <w:t>。</w:t>
      </w:r>
      <w:r>
        <w:rPr>
          <w:rFonts w:hint="default" w:ascii="Times New Roman" w:hAnsi="Times New Roman" w:eastAsia="仿宋_GB2312" w:cs="Times New Roman"/>
          <w:sz w:val="32"/>
          <w:szCs w:val="32"/>
          <w:u w:val="none"/>
        </w:rPr>
        <w:t>上述土地（</w:t>
      </w:r>
      <w:r>
        <w:rPr>
          <w:rFonts w:hint="default" w:ascii="Times New Roman" w:hAnsi="Times New Roman" w:eastAsia="仿宋_GB2312" w:cs="Times New Roman"/>
          <w:sz w:val="32"/>
          <w:szCs w:val="32"/>
          <w:u w:val="none"/>
          <w:lang w:val="en-US" w:eastAsia="zh-CN"/>
        </w:rPr>
        <w:t>14.1342</w:t>
      </w:r>
      <w:r>
        <w:rPr>
          <w:rFonts w:hint="default" w:ascii="Times New Roman" w:hAnsi="Times New Roman" w:eastAsia="仿宋_GB2312" w:cs="Times New Roman"/>
          <w:sz w:val="32"/>
          <w:szCs w:val="32"/>
          <w:u w:val="none"/>
        </w:rPr>
        <w:t>公顷）经完善征收手续后依照规划安排作为广州市</w:t>
      </w:r>
      <w:r>
        <w:rPr>
          <w:rFonts w:hint="default" w:ascii="Times New Roman" w:hAnsi="Times New Roman" w:eastAsia="仿宋_GB2312" w:cs="Times New Roman"/>
          <w:sz w:val="32"/>
          <w:szCs w:val="32"/>
          <w:u w:val="none"/>
          <w:lang w:eastAsia="zh-CN"/>
        </w:rPr>
        <w:t>天河</w:t>
      </w:r>
      <w:r>
        <w:rPr>
          <w:rFonts w:hint="default" w:ascii="Times New Roman" w:hAnsi="Times New Roman" w:eastAsia="仿宋_GB2312" w:cs="Times New Roman"/>
          <w:sz w:val="32"/>
          <w:szCs w:val="32"/>
          <w:u w:val="none"/>
        </w:rPr>
        <w:t>区城镇建设用地。</w:t>
      </w:r>
    </w:p>
    <w:p>
      <w:pPr>
        <w:widowControl/>
        <w:spacing w:line="600" w:lineRule="exact"/>
        <w:ind w:firstLine="645"/>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none"/>
        </w:rPr>
        <w:t>二、该批次用地在土地利用总体规划中安排为城乡建设用地</w:t>
      </w:r>
      <w:r>
        <w:rPr>
          <w:rFonts w:hint="default" w:ascii="Times New Roman" w:hAnsi="Times New Roman" w:eastAsia="仿宋_GB2312" w:cs="Times New Roman"/>
          <w:sz w:val="32"/>
          <w:szCs w:val="32"/>
        </w:rPr>
        <w:t>，供地时土地用途应与土地利用总体规划中的规划安排相符；同时，供地方式、供地规模、供地标准等应严格按照国家和省的有关规定执行，切实做到节约集约用地。</w:t>
      </w:r>
    </w:p>
    <w:p>
      <w:pPr>
        <w:widowControl/>
        <w:spacing w:line="600" w:lineRule="exact"/>
        <w:ind w:firstLine="645"/>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请你市人民政府及时依法组织实施征地，切实保障被征地群众生活出路。市人民政府应依法发布征地公告，限期办理征地补偿登记；市自然资源主管部门应会同有关单位根据批准的征收土地方案拟订具体的征地补偿安置方案并予以公告，听取群众意见后报同级人民政府批准实施。征地补偿安置不落实的，不得强行使用被征土地。</w:t>
      </w:r>
    </w:p>
    <w:p>
      <w:pPr>
        <w:widowControl/>
        <w:spacing w:line="600" w:lineRule="exact"/>
        <w:ind w:firstLine="645"/>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、使用土地涉及有关税费的收缴或调整，请按有关规定办理。</w:t>
      </w:r>
    </w:p>
    <w:p>
      <w:pPr>
        <w:widowControl/>
        <w:spacing w:line="600" w:lineRule="exact"/>
        <w:ind w:firstLine="645"/>
        <w:textAlignment w:val="baseline"/>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u w:val="none"/>
          <w:lang w:eastAsia="zh-CN"/>
        </w:rPr>
        <w:t>五</w:t>
      </w:r>
      <w:r>
        <w:rPr>
          <w:rFonts w:hint="default" w:ascii="Times New Roman" w:hAnsi="Times New Roman" w:eastAsia="仿宋_GB2312" w:cs="Times New Roman"/>
          <w:sz w:val="32"/>
          <w:szCs w:val="32"/>
          <w:u w:val="none"/>
        </w:rPr>
        <w:t>、征地批后实施情况连同经批准的征地补偿安置方案和具</w:t>
      </w:r>
      <w:r>
        <w:rPr>
          <w:rFonts w:hint="default" w:ascii="Times New Roman" w:hAnsi="Times New Roman" w:eastAsia="仿宋_GB2312" w:cs="Times New Roman"/>
          <w:sz w:val="32"/>
          <w:szCs w:val="32"/>
        </w:rPr>
        <w:t>体项目供地情况须按规定报备。</w:t>
      </w:r>
    </w:p>
    <w:p>
      <w:pPr>
        <w:widowControl/>
        <w:spacing w:line="600" w:lineRule="exact"/>
        <w:textAlignment w:val="baseline"/>
        <w:rPr>
          <w:rFonts w:hint="default" w:ascii="Times New Roman" w:hAnsi="Times New Roman" w:eastAsia="仿宋_GB2312" w:cs="Times New Roman"/>
          <w:sz w:val="32"/>
          <w:szCs w:val="32"/>
        </w:rPr>
      </w:pPr>
    </w:p>
    <w:p>
      <w:pPr>
        <w:widowControl/>
        <w:spacing w:line="600" w:lineRule="exact"/>
        <w:textAlignment w:val="baseline"/>
        <w:rPr>
          <w:rFonts w:hint="default" w:ascii="Times New Roman" w:hAnsi="Times New Roman" w:eastAsia="仿宋_GB2312" w:cs="Times New Roman"/>
          <w:sz w:val="32"/>
          <w:szCs w:val="32"/>
        </w:rPr>
      </w:pPr>
    </w:p>
    <w:p>
      <w:pPr>
        <w:widowControl/>
        <w:spacing w:line="600" w:lineRule="exact"/>
        <w:ind w:firstLine="645"/>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广东省人民政府</w:t>
      </w:r>
    </w:p>
    <w:p>
      <w:pPr>
        <w:widowControl/>
        <w:spacing w:line="600" w:lineRule="exact"/>
        <w:ind w:firstLine="645"/>
        <w:jc w:val="center"/>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2020</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日</w:t>
      </w:r>
    </w:p>
    <w:p>
      <w:pPr>
        <w:widowControl/>
        <w:spacing w:line="600" w:lineRule="exact"/>
        <w:textAlignment w:val="baseline"/>
        <w:rPr>
          <w:rFonts w:hint="default" w:ascii="Times New Roman" w:hAnsi="Times New Roman" w:eastAsia="仿宋_GB2312" w:cs="Times New Roman"/>
          <w:sz w:val="32"/>
          <w:szCs w:val="32"/>
        </w:rPr>
      </w:pPr>
    </w:p>
    <w:p>
      <w:pPr>
        <w:widowControl/>
        <w:spacing w:line="600" w:lineRule="exact"/>
        <w:textAlignment w:val="baseline"/>
        <w:rPr>
          <w:rFonts w:hint="default" w:ascii="Times New Roman" w:hAnsi="Times New Roman" w:eastAsia="仿宋_GB2312" w:cs="Times New Roman"/>
          <w:sz w:val="32"/>
          <w:szCs w:val="32"/>
        </w:rPr>
      </w:pPr>
    </w:p>
    <w:p>
      <w:pPr>
        <w:widowControl/>
        <w:spacing w:line="600" w:lineRule="exact"/>
        <w:textAlignment w:val="baseline"/>
        <w:rPr>
          <w:rFonts w:hint="default" w:ascii="Times New Roman" w:hAnsi="Times New Roman" w:eastAsia="仿宋_GB2312" w:cs="Times New Roman"/>
          <w:sz w:val="32"/>
          <w:szCs w:val="32"/>
        </w:rPr>
      </w:pPr>
    </w:p>
    <w:p>
      <w:pPr>
        <w:widowControl/>
        <w:spacing w:line="600" w:lineRule="exact"/>
        <w:textAlignment w:val="baseline"/>
        <w:rPr>
          <w:rFonts w:hint="default" w:ascii="Times New Roman" w:hAnsi="Times New Roman" w:eastAsia="仿宋_GB2312" w:cs="Times New Roman"/>
          <w:sz w:val="32"/>
          <w:szCs w:val="32"/>
        </w:rPr>
      </w:pPr>
    </w:p>
    <w:p>
      <w:pPr>
        <w:widowControl/>
        <w:spacing w:line="600" w:lineRule="exact"/>
        <w:textAlignment w:val="baseline"/>
        <w:rPr>
          <w:rFonts w:hint="default" w:ascii="Times New Roman" w:hAnsi="Times New Roman" w:eastAsia="仿宋_GB2312" w:cs="Times New Roman"/>
          <w:sz w:val="32"/>
          <w:szCs w:val="32"/>
        </w:rPr>
      </w:pPr>
    </w:p>
    <w:p>
      <w:pPr>
        <w:spacing w:line="600" w:lineRule="exact"/>
        <w:ind w:left="1207" w:leftChars="586" w:firstLine="2742" w:firstLineChars="1331"/>
        <w:rPr>
          <w:rFonts w:hint="default" w:ascii="Times New Roman" w:hAnsi="Times New Roman" w:cs="Times New Roman"/>
          <w:szCs w:val="32"/>
        </w:rPr>
      </w:pPr>
    </w:p>
    <w:p/>
    <w:sectPr>
      <w:footerReference r:id="rId3" w:type="default"/>
      <w:footerReference r:id="rId4" w:type="even"/>
      <w:pgSz w:w="11906" w:h="16838"/>
      <w:pgMar w:top="1814" w:right="1361" w:bottom="1474" w:left="1531" w:header="851" w:footer="1588" w:gutter="0"/>
      <w:cols w:space="720" w:num="1"/>
      <w:titlePg/>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Fonts w:hint="eastAsia"/>
        <w:sz w:val="28"/>
        <w:szCs w:val="28"/>
      </w:rPr>
    </w:pPr>
    <w:r>
      <w:rPr>
        <w:rStyle w:val="4"/>
        <w:rFonts w:hint="eastAsia"/>
        <w:sz w:val="28"/>
        <w:szCs w:val="28"/>
      </w:rPr>
      <w:t xml:space="preserve">— </w:t>
    </w:r>
    <w:r>
      <w:rPr>
        <w:sz w:val="28"/>
        <w:szCs w:val="28"/>
      </w:rPr>
      <w:fldChar w:fldCharType="begin"/>
    </w:r>
    <w:r>
      <w:rPr>
        <w:rStyle w:val="4"/>
        <w:sz w:val="28"/>
        <w:szCs w:val="28"/>
      </w:rPr>
      <w:instrText xml:space="preserve">PAGE  </w:instrText>
    </w:r>
    <w:r>
      <w:rPr>
        <w:sz w:val="28"/>
        <w:szCs w:val="28"/>
      </w:rPr>
      <w:fldChar w:fldCharType="separate"/>
    </w:r>
    <w:r>
      <w:rPr>
        <w:rStyle w:val="4"/>
        <w:sz w:val="28"/>
        <w:szCs w:val="28"/>
      </w:rPr>
      <w:t>4</w:t>
    </w:r>
    <w:r>
      <w:rPr>
        <w:sz w:val="28"/>
        <w:szCs w:val="28"/>
      </w:rPr>
      <w:fldChar w:fldCharType="end"/>
    </w:r>
    <w:r>
      <w:rPr>
        <w:rStyle w:val="4"/>
        <w:rFonts w:hint="eastAsia"/>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Pr>
    </w:pPr>
    <w:r>
      <w:fldChar w:fldCharType="begin"/>
    </w:r>
    <w:r>
      <w:rPr>
        <w:rStyle w:val="4"/>
      </w:rPr>
      <w:instrText xml:space="preserve">PAGE  </w:instrText>
    </w:r>
    <w: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4D28D"/>
    <w:multiLevelType w:val="singleLevel"/>
    <w:tmpl w:val="5A34D28D"/>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0B5DDF"/>
    <w:rsid w:val="750B5D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2020-09-30T09:58:00Z</dcterms:created>
  <dc:creator>颜嘉雯</dc:creator>
  <cp:lastModifiedBy>颜嘉雯</cp:lastModifiedBy>
  <dcterms:modified xsi:type="dcterms:W3CDTF">2020-09-30T09:59:06Z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