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ind w:firstLine="645"/>
        <w:jc w:val="right"/>
        <w:textAlignment w:val="baseline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粤府土</w:t>
      </w:r>
      <w:r>
        <w:rPr>
          <w:rFonts w:hint="eastAsia" w:ascii="仿宋_GB2312" w:hAnsi="仿宋_GB2312" w:eastAsia="仿宋_GB2312" w:cs="仿宋_GB2312"/>
          <w:sz w:val="32"/>
          <w:szCs w:val="32"/>
        </w:rPr>
        <w:t>审（02）〔20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eastAsia="仿宋_GB2312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广东省人民政府关于广州市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南沙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年度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五十三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批次城镇建设用地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增减挂钩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）的批复</w:t>
      </w:r>
    </w:p>
    <w:p>
      <w:pPr>
        <w:spacing w:line="580" w:lineRule="exact"/>
        <w:jc w:val="center"/>
        <w:rPr>
          <w:rFonts w:eastAsia="楷体_GB2312"/>
          <w:bCs/>
          <w:sz w:val="32"/>
          <w:szCs w:val="32"/>
        </w:rPr>
      </w:pPr>
    </w:p>
    <w:p>
      <w:pPr>
        <w:widowControl/>
        <w:spacing w:line="600" w:lineRule="exact"/>
        <w:jc w:val="center"/>
        <w:textAlignment w:val="baseline"/>
        <w:rPr>
          <w:rFonts w:hint="eastAsia"/>
          <w:b/>
          <w:sz w:val="32"/>
          <w:szCs w:val="32"/>
        </w:rPr>
      </w:pPr>
    </w:p>
    <w:p>
      <w:pPr>
        <w:widowControl/>
        <w:spacing w:line="600" w:lineRule="exact"/>
        <w:jc w:val="left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广州</w:t>
      </w:r>
      <w:r>
        <w:rPr>
          <w:rFonts w:eastAsia="仿宋_GB2312"/>
          <w:sz w:val="32"/>
          <w:szCs w:val="32"/>
        </w:rPr>
        <w:t>市人民政府：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eastAsia="仿宋_GB2312"/>
          <w:sz w:val="32"/>
          <w:szCs w:val="32"/>
        </w:rPr>
        <w:t>《关于</w:t>
      </w:r>
      <w:r>
        <w:rPr>
          <w:rFonts w:hint="eastAsia" w:eastAsia="仿宋_GB2312"/>
          <w:sz w:val="32"/>
          <w:szCs w:val="32"/>
        </w:rPr>
        <w:t>审批</w:t>
      </w:r>
      <w:r>
        <w:rPr>
          <w:rFonts w:hint="eastAsia" w:ascii="仿宋_GB2312" w:hAnsi="仿宋_GB2312" w:eastAsia="仿宋_GB2312" w:cs="仿宋_GB2312"/>
          <w:sz w:val="32"/>
          <w:szCs w:val="32"/>
        </w:rPr>
        <w:t>广州市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</w:rPr>
        <w:t>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2020</w:t>
      </w:r>
      <w:r>
        <w:rPr>
          <w:rFonts w:hint="eastAsia" w:ascii="仿宋_GB2312" w:hAnsi="仿宋_GB2312" w:eastAsia="仿宋_GB2312" w:cs="仿宋_GB2312"/>
          <w:sz w:val="32"/>
          <w:szCs w:val="32"/>
        </w:rPr>
        <w:t>年度第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五十三</w:t>
      </w:r>
      <w:r>
        <w:rPr>
          <w:rFonts w:hint="eastAsia" w:ascii="仿宋_GB2312" w:hAnsi="仿宋_GB2312" w:eastAsia="仿宋_GB2312" w:cs="仿宋_GB2312"/>
          <w:sz w:val="32"/>
          <w:szCs w:val="32"/>
        </w:rPr>
        <w:t>批次城镇建设用地（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增减挂钩</w:t>
      </w:r>
      <w:r>
        <w:rPr>
          <w:rFonts w:hint="eastAsia" w:ascii="仿宋_GB2312" w:hAnsi="仿宋_GB2312" w:eastAsia="仿宋_GB2312" w:cs="仿宋_GB2312"/>
          <w:sz w:val="32"/>
          <w:szCs w:val="32"/>
        </w:rPr>
        <w:t>）的请示》（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穗规划资源（用地）南报</w:t>
      </w:r>
      <w:r>
        <w:rPr>
          <w:rFonts w:hint="eastAsia" w:ascii="仿宋_GB2312" w:hAnsi="仿宋_GB2312" w:eastAsia="仿宋_GB2312" w:cs="仿宋_GB2312"/>
          <w:sz w:val="32"/>
          <w:szCs w:val="32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号）及相关材料已通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过审核。根据《中华人民共和国土地管理法》第四十四、四十五、四十六条</w:t>
      </w:r>
      <w:r>
        <w:rPr>
          <w:rFonts w:hint="eastAsia" w:ascii="仿宋_GB2312" w:hAnsi="仿宋_GB2312" w:eastAsia="仿宋_GB2312" w:cs="仿宋_GB2312"/>
          <w:sz w:val="32"/>
          <w:szCs w:val="32"/>
        </w:rPr>
        <w:t>的有关规定，批复如下：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该批次用地属使用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跨省调剂城乡建设用地增减挂钩节余指标的用地，建新方案已获省自然资源厅批复（粤自然资函〔20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〕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690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号），不需再单独办理农用地转用审批手续。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同意上报的征收土地方案。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同意你市将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南沙区东涌镇石排股份合作经济联合社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三沙村股份合作经济社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沙公堡股份合作经济联合社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属下的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集体农用地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5.9238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公顷（耕地0.7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649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公顷、园地0.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2209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公顷、其他农用地4.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9380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)转为建设用地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以上5.9238公顷集体土地一并办理征收为国有土地手续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上述土地（合计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5.9238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公顷）经完善相关手续后依照规划安排作为广州市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南沙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区城</w:t>
      </w:r>
      <w:r>
        <w:rPr>
          <w:rFonts w:hint="eastAsia" w:ascii="仿宋_GB2312" w:hAnsi="仿宋_GB2312" w:eastAsia="仿宋_GB2312" w:cs="仿宋_GB2312"/>
          <w:sz w:val="32"/>
          <w:szCs w:val="32"/>
        </w:rPr>
        <w:t>镇建设用地。</w:t>
      </w:r>
    </w:p>
    <w:p>
      <w:pPr>
        <w:widowControl/>
        <w:numPr>
          <w:ilvl w:val="0"/>
          <w:numId w:val="1"/>
        </w:numPr>
        <w:spacing w:line="600" w:lineRule="exact"/>
        <w:ind w:firstLine="645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该批次用地在土地利用总体规划中安排为城乡建设用地，供地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时土地用途应与土地利用总体规划中的规划安排相符；同时，供地方式、供地规模、供地标准</w:t>
      </w:r>
      <w:r>
        <w:rPr>
          <w:rFonts w:eastAsia="仿宋_GB2312"/>
          <w:color w:val="auto"/>
          <w:sz w:val="32"/>
          <w:szCs w:val="32"/>
        </w:rPr>
        <w:t>等应严格按照国家和省的有关规定执行，切实做到节约集约用地。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b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四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  <w:highlight w:val="none"/>
        </w:rPr>
        <w:t>请你市</w:t>
      </w:r>
      <w:r>
        <w:rPr>
          <w:rFonts w:hint="default" w:eastAsia="仿宋_GB2312"/>
          <w:color w:val="auto"/>
          <w:sz w:val="32"/>
          <w:szCs w:val="32"/>
          <w:highlight w:val="none"/>
          <w:lang w:eastAsia="zh-CN"/>
        </w:rPr>
        <w:t>人民政府督促相关区县按规定</w:t>
      </w:r>
      <w:r>
        <w:rPr>
          <w:rFonts w:eastAsia="仿宋_GB2312"/>
          <w:color w:val="auto"/>
          <w:sz w:val="32"/>
          <w:szCs w:val="32"/>
          <w:highlight w:val="none"/>
        </w:rPr>
        <w:t>发布</w:t>
      </w:r>
      <w:r>
        <w:rPr>
          <w:rFonts w:hint="default" w:eastAsia="仿宋_GB2312"/>
          <w:color w:val="auto"/>
          <w:sz w:val="32"/>
          <w:szCs w:val="32"/>
          <w:highlight w:val="none"/>
          <w:lang w:eastAsia="zh-CN"/>
        </w:rPr>
        <w:t>征收土地</w:t>
      </w:r>
      <w:r>
        <w:rPr>
          <w:rFonts w:eastAsia="仿宋_GB2312"/>
          <w:color w:val="auto"/>
          <w:sz w:val="32"/>
          <w:szCs w:val="32"/>
          <w:highlight w:val="none"/>
        </w:rPr>
        <w:t>公告，依法组织实施征地，切实保障被征地群众生活出路。征地补偿安置不落实的，不得强行使用被征土地。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color w:val="auto"/>
          <w:sz w:val="32"/>
          <w:szCs w:val="32"/>
        </w:rPr>
      </w:pPr>
      <w:r>
        <w:rPr>
          <w:rFonts w:eastAsia="仿宋_GB2312"/>
          <w:color w:val="auto"/>
          <w:sz w:val="32"/>
          <w:szCs w:val="32"/>
        </w:rPr>
        <w:t>五、使用土地涉及有关税费的收缴或调整，请按有关规定办理。</w:t>
      </w:r>
    </w:p>
    <w:p>
      <w:pPr>
        <w:widowControl/>
        <w:spacing w:line="600" w:lineRule="exact"/>
        <w:ind w:firstLine="645"/>
        <w:textAlignment w:val="baseline"/>
        <w:rPr>
          <w:rFonts w:eastAsia="仿宋_GB2312"/>
          <w:sz w:val="32"/>
          <w:szCs w:val="32"/>
        </w:rPr>
      </w:pPr>
      <w:r>
        <w:rPr>
          <w:rFonts w:hint="eastAsia" w:eastAsia="仿宋_GB2312"/>
          <w:color w:val="auto"/>
          <w:sz w:val="32"/>
          <w:szCs w:val="32"/>
          <w:lang w:val="en-US" w:eastAsia="zh-CN"/>
        </w:rPr>
        <w:t>六</w:t>
      </w:r>
      <w:r>
        <w:rPr>
          <w:rFonts w:eastAsia="仿宋_GB2312"/>
          <w:color w:val="auto"/>
          <w:sz w:val="32"/>
          <w:szCs w:val="32"/>
        </w:rPr>
        <w:t>、</w:t>
      </w:r>
      <w:r>
        <w:rPr>
          <w:rFonts w:eastAsia="仿宋_GB2312"/>
          <w:color w:val="auto"/>
          <w:sz w:val="32"/>
          <w:szCs w:val="32"/>
          <w:highlight w:val="none"/>
          <w:u w:val="none"/>
        </w:rPr>
        <w:t>征地批后实施情况</w:t>
      </w:r>
      <w:r>
        <w:rPr>
          <w:rFonts w:ascii="Times New Roman" w:hAnsi="Times New Roman" w:eastAsia="仿宋_GB2312" w:cs="Times New Roman"/>
          <w:color w:val="auto"/>
          <w:sz w:val="32"/>
          <w:szCs w:val="32"/>
        </w:rPr>
        <w:t>和具体项目</w:t>
      </w:r>
      <w:r>
        <w:rPr>
          <w:rFonts w:ascii="Times New Roman" w:hAnsi="Times New Roman" w:eastAsia="仿宋_GB2312" w:cs="Times New Roman"/>
          <w:sz w:val="32"/>
          <w:szCs w:val="32"/>
        </w:rPr>
        <w:t>供地情况须按</w:t>
      </w:r>
      <w:r>
        <w:rPr>
          <w:rFonts w:eastAsia="仿宋_GB2312"/>
          <w:sz w:val="32"/>
          <w:szCs w:val="32"/>
        </w:rPr>
        <w:t>规定报备</w:t>
      </w:r>
      <w:r>
        <w:rPr>
          <w:rFonts w:hint="eastAsia" w:eastAsia="仿宋_GB2312"/>
          <w:sz w:val="32"/>
          <w:szCs w:val="32"/>
          <w:lang w:eastAsia="zh-CN"/>
        </w:rPr>
        <w:t>。</w:t>
      </w:r>
    </w:p>
    <w:p>
      <w:pPr>
        <w:widowControl/>
        <w:spacing w:line="600" w:lineRule="exact"/>
        <w:ind w:firstLine="645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 xml:space="preserve">                              </w:t>
      </w:r>
    </w:p>
    <w:p>
      <w:pPr>
        <w:widowControl/>
        <w:spacing w:line="600" w:lineRule="exact"/>
        <w:ind w:firstLine="645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 xml:space="preserve">                              </w:t>
      </w:r>
      <w:r>
        <w:rPr>
          <w:rFonts w:hint="eastAsia" w:eastAsia="仿宋_GB2312"/>
          <w:sz w:val="32"/>
          <w:szCs w:val="32"/>
        </w:rPr>
        <w:t xml:space="preserve"> </w:t>
      </w:r>
      <w:r>
        <w:rPr>
          <w:rFonts w:eastAsia="仿宋_GB2312"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sz w:val="32"/>
          <w:szCs w:val="32"/>
        </w:rPr>
        <w:t>东省人民政府</w:t>
      </w:r>
    </w:p>
    <w:p>
      <w:pPr>
        <w:widowControl/>
        <w:spacing w:line="600" w:lineRule="exact"/>
        <w:ind w:firstLine="645"/>
        <w:jc w:val="center"/>
        <w:textAlignment w:val="baseline"/>
        <w:rPr>
          <w:rFonts w:hint="eastAsia" w:eastAsia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2022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</w:t>
      </w:r>
      <w:r>
        <w:rPr>
          <w:rFonts w:eastAsia="仿宋_GB2312"/>
          <w:sz w:val="32"/>
          <w:szCs w:val="32"/>
        </w:rPr>
        <w:t>日</w:t>
      </w: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widowControl/>
        <w:spacing w:line="600" w:lineRule="exact"/>
        <w:textAlignment w:val="baseline"/>
        <w:rPr>
          <w:rFonts w:hint="eastAsia" w:eastAsia="仿宋_GB2312"/>
          <w:sz w:val="32"/>
          <w:szCs w:val="32"/>
        </w:rPr>
      </w:pP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公开方式：</w:t>
      </w:r>
      <w:r>
        <w:rPr>
          <w:rFonts w:hint="eastAsia" w:eastAsia="仿宋_GB2312"/>
          <w:sz w:val="32"/>
          <w:szCs w:val="32"/>
        </w:rPr>
        <w:t>主动公开</w:t>
      </w:r>
    </w:p>
    <w:p>
      <w:pPr>
        <w:spacing w:line="600" w:lineRule="exact"/>
        <w:ind w:left="0" w:leftChars="0" w:firstLine="0" w:firstLineChars="0"/>
        <w:rPr>
          <w:rFonts w:hint="eastAsia" w:eastAsia="仿宋_GB2312"/>
          <w:sz w:val="28"/>
          <w:szCs w:val="28"/>
        </w:rPr>
      </w:pPr>
      <w:r>
        <w:rPr>
          <w:rFonts w:eastAsia="仿宋_GB2312"/>
          <w:sz w:val="32"/>
          <w:szCs w:val="32"/>
        </w:rPr>
        <w:t>抄送：</w:t>
      </w:r>
      <w:r>
        <w:rPr>
          <w:rFonts w:hint="eastAsia" w:eastAsia="仿宋_GB2312"/>
          <w:sz w:val="32"/>
          <w:szCs w:val="32"/>
        </w:rPr>
        <w:t>国家自然资</w:t>
      </w:r>
      <w:r>
        <w:rPr>
          <w:rFonts w:hint="eastAsia" w:eastAsia="仿宋_GB2312"/>
          <w:color w:val="auto"/>
          <w:sz w:val="32"/>
          <w:szCs w:val="32"/>
        </w:rPr>
        <w:t>源督察广州局，财政部广东</w:t>
      </w:r>
      <w:r>
        <w:rPr>
          <w:rFonts w:hint="eastAsia" w:eastAsia="仿宋_GB2312"/>
          <w:color w:val="auto"/>
          <w:sz w:val="32"/>
          <w:szCs w:val="32"/>
          <w:lang w:eastAsia="zh-CN"/>
        </w:rPr>
        <w:t>监管局</w:t>
      </w:r>
      <w:r>
        <w:rPr>
          <w:rFonts w:hint="eastAsia" w:eastAsia="仿宋_GB2312"/>
          <w:color w:val="auto"/>
          <w:sz w:val="32"/>
          <w:szCs w:val="32"/>
        </w:rPr>
        <w:t>，省财政厅、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省人力资源和社会保障厅、</w:t>
      </w:r>
      <w:r>
        <w:rPr>
          <w:rFonts w:hint="eastAsia" w:eastAsia="仿宋_GB2312"/>
          <w:color w:val="auto"/>
          <w:sz w:val="32"/>
          <w:szCs w:val="32"/>
        </w:rPr>
        <w:t>省自然资源厅、</w:t>
      </w:r>
      <w:r>
        <w:rPr>
          <w:rFonts w:hint="eastAsia" w:eastAsia="仿宋_GB2312"/>
          <w:color w:val="auto"/>
          <w:sz w:val="32"/>
          <w:szCs w:val="32"/>
          <w:lang w:eastAsia="zh-CN"/>
        </w:rPr>
        <w:t>省农业农村厅、</w:t>
      </w:r>
      <w:r>
        <w:rPr>
          <w:rFonts w:hint="eastAsia" w:eastAsia="仿宋_GB2312"/>
          <w:color w:val="auto"/>
          <w:sz w:val="32"/>
          <w:szCs w:val="32"/>
        </w:rPr>
        <w:t>国家税务总局广东省税务局。</w:t>
      </w:r>
      <w:bookmarkStart w:id="0" w:name="_GoBack"/>
      <w:bookmarkEnd w:id="0"/>
    </w:p>
    <w:p>
      <w:pPr>
        <w:spacing w:line="600" w:lineRule="exact"/>
        <w:ind w:left="1207" w:leftChars="586" w:firstLine="3893" w:firstLineChars="1232"/>
      </w:pPr>
      <w:r>
        <w:rPr>
          <w:rFonts w:hint="eastAsia" w:eastAsia="仿宋_GB2312"/>
          <w:sz w:val="32"/>
          <w:szCs w:val="32"/>
          <w:lang w:val="en-US" w:eastAsia="zh-CN"/>
        </w:rPr>
        <w:t>2022</w:t>
      </w:r>
      <w:r>
        <w:rPr>
          <w:rFonts w:hint="eastAsia" w:eastAsia="仿宋_GB2312"/>
          <w:sz w:val="28"/>
          <w:szCs w:val="28"/>
        </w:rPr>
        <w:t>年</w:t>
      </w:r>
      <w:r>
        <w:rPr>
          <w:rFonts w:hint="eastAsia" w:eastAsia="仿宋_GB2312"/>
          <w:sz w:val="32"/>
          <w:szCs w:val="32"/>
          <w:lang w:val="en-US" w:eastAsia="zh-CN"/>
        </w:rPr>
        <w:t>1</w:t>
      </w:r>
      <w:r>
        <w:rPr>
          <w:rFonts w:hint="eastAsia" w:eastAsia="仿宋_GB2312"/>
          <w:sz w:val="28"/>
          <w:szCs w:val="28"/>
        </w:rPr>
        <w:t>月</w:t>
      </w:r>
      <w:r>
        <w:rPr>
          <w:rFonts w:hint="eastAsia" w:eastAsia="仿宋_GB2312"/>
          <w:sz w:val="28"/>
          <w:szCs w:val="28"/>
          <w:lang w:val="en-US" w:eastAsia="zh-CN"/>
        </w:rPr>
        <w:t>20</w:t>
      </w:r>
      <w:r>
        <w:rPr>
          <w:rFonts w:hint="eastAsia" w:eastAsia="仿宋_GB2312"/>
          <w:sz w:val="28"/>
          <w:szCs w:val="28"/>
        </w:rPr>
        <w:t>日印发</w:t>
      </w:r>
    </w:p>
    <w:sectPr>
      <w:footerReference r:id="rId3" w:type="default"/>
      <w:footerReference r:id="rId4" w:type="even"/>
      <w:pgSz w:w="11906" w:h="16838"/>
      <w:pgMar w:top="1814" w:right="1361" w:bottom="1474" w:left="1531" w:header="851" w:footer="1588" w:gutter="0"/>
      <w:cols w:space="720" w:num="1"/>
      <w:titlePg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  <w:rFonts w:hint="eastAsia"/>
        <w:sz w:val="28"/>
        <w:szCs w:val="28"/>
      </w:rPr>
    </w:pPr>
    <w:r>
      <w:rPr>
        <w:rStyle w:val="6"/>
        <w:rFonts w:hint="eastAsia"/>
        <w:sz w:val="28"/>
        <w:szCs w:val="28"/>
      </w:rPr>
      <w:t xml:space="preserve">—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4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—</w:t>
    </w:r>
  </w:p>
  <w:p>
    <w:pPr>
      <w:pStyle w:val="3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outside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34D28D"/>
    <w:multiLevelType w:val="singleLevel"/>
    <w:tmpl w:val="5A34D28D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dit="trackedChanges"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gwMTBhNmI1ZWVkMWVhNmI1ZjIwY2Y2OThjZmUzNjQifQ=="/>
  </w:docVars>
  <w:rsids>
    <w:rsidRoot w:val="00000000"/>
    <w:rsid w:val="291749B1"/>
    <w:rsid w:val="294417A2"/>
    <w:rsid w:val="306E63D6"/>
    <w:rsid w:val="31240FEF"/>
    <w:rsid w:val="40CF5AE8"/>
    <w:rsid w:val="45EE7269"/>
    <w:rsid w:val="49F8027B"/>
    <w:rsid w:val="4FDB788C"/>
    <w:rsid w:val="518131A2"/>
    <w:rsid w:val="62EE7BF8"/>
    <w:rsid w:val="6CFD6342"/>
    <w:rsid w:val="738D2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adjustRightInd w:val="0"/>
      <w:spacing w:line="720" w:lineRule="exact"/>
      <w:jc w:val="center"/>
      <w:textAlignment w:val="baseline"/>
      <w:outlineLvl w:val="0"/>
    </w:pPr>
    <w:rPr>
      <w:rFonts w:ascii="方正小标宋简体" w:eastAsia="方正小标宋简体"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717</Words>
  <Characters>769</Characters>
  <Lines>0</Lines>
  <Paragraphs>0</Paragraphs>
  <TotalTime>2</TotalTime>
  <ScaleCrop>false</ScaleCrop>
  <LinksUpToDate>false</LinksUpToDate>
  <CharactersWithSpaces>861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NTKO</cp:lastModifiedBy>
  <dcterms:modified xsi:type="dcterms:W3CDTF">2022-06-13T06:50:41Z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D5D8A26F927A4BB7901CE64D86B0DF2F</vt:lpwstr>
  </property>
</Properties>
</file>