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30E" w:rsidRDefault="0049630E" w:rsidP="0049630E">
      <w:pPr>
        <w:jc w:val="center"/>
        <w:rPr>
          <w:rFonts w:ascii="华文中宋" w:eastAsia="华文中宋" w:hAnsi="华文中宋" w:hint="eastAsia"/>
          <w:b/>
          <w:bCs/>
          <w:sz w:val="44"/>
          <w:szCs w:val="44"/>
        </w:rPr>
      </w:pPr>
      <w:r>
        <w:rPr>
          <w:rFonts w:ascii="华文中宋" w:eastAsia="华文中宋" w:hAnsi="华文中宋" w:hint="eastAsia"/>
          <w:b/>
          <w:bCs/>
          <w:sz w:val="44"/>
          <w:szCs w:val="44"/>
        </w:rPr>
        <w:t>征地补偿安置方案</w:t>
      </w:r>
    </w:p>
    <w:p w:rsidR="0049630E" w:rsidRDefault="0049630E" w:rsidP="0049630E">
      <w:pPr>
        <w:jc w:val="center"/>
        <w:rPr>
          <w:rFonts w:ascii="华文中宋" w:eastAsia="华文中宋" w:hAnsi="华文中宋"/>
          <w:b/>
          <w:bCs/>
          <w:sz w:val="32"/>
          <w:szCs w:val="32"/>
        </w:rPr>
      </w:pPr>
    </w:p>
    <w:p w:rsidR="0049630E" w:rsidRDefault="0049630E" w:rsidP="0049630E">
      <w:pPr>
        <w:numPr>
          <w:ilvl w:val="0"/>
          <w:numId w:val="1"/>
        </w:numPr>
        <w:tabs>
          <w:tab w:val="left" w:pos="720"/>
        </w:tabs>
        <w:rPr>
          <w:rFonts w:ascii="仿宋" w:eastAsia="仿宋" w:hAnsi="仿宋" w:cs="仿宋"/>
          <w:b/>
          <w:sz w:val="28"/>
          <w:szCs w:val="28"/>
        </w:rPr>
      </w:pPr>
      <w:r>
        <w:rPr>
          <w:rFonts w:ascii="仿宋" w:eastAsia="仿宋" w:hAnsi="仿宋" w:cs="仿宋" w:hint="eastAsia"/>
          <w:b/>
          <w:sz w:val="28"/>
          <w:szCs w:val="28"/>
        </w:rPr>
        <w:t>征用土地位置</w:t>
      </w:r>
    </w:p>
    <w:p w:rsidR="0049630E" w:rsidRDefault="0049630E" w:rsidP="0049630E">
      <w:pPr>
        <w:autoSpaceDN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广州市</w:t>
      </w:r>
      <w:r>
        <w:rPr>
          <w:rFonts w:ascii="仿宋_GB2312" w:eastAsia="仿宋_GB2312" w:hAnsi="仿宋_GB2312" w:cs="仿宋_GB2312" w:hint="eastAsia"/>
          <w:sz w:val="32"/>
          <w:szCs w:val="32"/>
        </w:rPr>
        <w:t>南沙区大岗镇放马村</w:t>
      </w:r>
      <w:r>
        <w:rPr>
          <w:rFonts w:ascii="仿宋" w:eastAsia="仿宋" w:hAnsi="仿宋" w:cs="仿宋" w:hint="eastAsia"/>
          <w:sz w:val="32"/>
          <w:szCs w:val="32"/>
        </w:rPr>
        <w:t>地段</w:t>
      </w:r>
    </w:p>
    <w:p w:rsidR="0049630E" w:rsidRDefault="0049630E" w:rsidP="0049630E">
      <w:pPr>
        <w:numPr>
          <w:ilvl w:val="0"/>
          <w:numId w:val="2"/>
        </w:numPr>
        <w:rPr>
          <w:rFonts w:ascii="仿宋" w:eastAsia="仿宋" w:hAnsi="仿宋" w:cs="仿宋" w:hint="eastAsia"/>
          <w:b/>
          <w:sz w:val="28"/>
          <w:szCs w:val="28"/>
        </w:rPr>
      </w:pPr>
      <w:r>
        <w:rPr>
          <w:rFonts w:ascii="仿宋" w:eastAsia="仿宋" w:hAnsi="仿宋" w:cs="仿宋" w:hint="eastAsia"/>
          <w:b/>
          <w:sz w:val="28"/>
          <w:szCs w:val="28"/>
        </w:rPr>
        <w:t>征地补偿安置方案内容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818"/>
        <w:gridCol w:w="1269"/>
        <w:gridCol w:w="969"/>
        <w:gridCol w:w="1446"/>
        <w:gridCol w:w="1227"/>
        <w:gridCol w:w="1466"/>
        <w:gridCol w:w="890"/>
      </w:tblGrid>
      <w:tr w:rsidR="0049630E" w:rsidTr="004A10F2">
        <w:trPr>
          <w:trHeight w:val="772"/>
        </w:trPr>
        <w:tc>
          <w:tcPr>
            <w:tcW w:w="738"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被征地单位</w:t>
            </w:r>
          </w:p>
        </w:tc>
        <w:tc>
          <w:tcPr>
            <w:tcW w:w="818"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地类名称</w:t>
            </w:r>
          </w:p>
        </w:tc>
        <w:tc>
          <w:tcPr>
            <w:tcW w:w="12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征地面积</w:t>
            </w: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分类</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补偿标准</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补偿金额</w:t>
            </w:r>
          </w:p>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（万元）</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支付对象</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支付方式</w:t>
            </w:r>
          </w:p>
        </w:tc>
      </w:tr>
      <w:tr w:rsidR="0049630E" w:rsidTr="004A10F2">
        <w:trPr>
          <w:trHeight w:val="815"/>
        </w:trPr>
        <w:tc>
          <w:tcPr>
            <w:tcW w:w="738" w:type="dxa"/>
            <w:vMerge w:val="restart"/>
            <w:tcBorders>
              <w:top w:val="single" w:sz="4" w:space="0" w:color="auto"/>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color w:val="333333"/>
                <w:szCs w:val="21"/>
                <w:shd w:val="clear" w:color="auto" w:fill="FFFFFF"/>
              </w:rPr>
              <w:t>广州市南沙区</w:t>
            </w:r>
            <w:r>
              <w:rPr>
                <w:rFonts w:ascii="仿宋_GB2312" w:eastAsia="仿宋_GB2312" w:hAnsi="仿宋_GB2312" w:cs="仿宋_GB2312" w:hint="eastAsia"/>
                <w:szCs w:val="21"/>
              </w:rPr>
              <w:t>大岗镇放马村股份合作经济社</w:t>
            </w:r>
          </w:p>
        </w:tc>
        <w:tc>
          <w:tcPr>
            <w:tcW w:w="818" w:type="dxa"/>
            <w:vMerge w:val="restart"/>
            <w:tcBorders>
              <w:top w:val="single" w:sz="4" w:space="0" w:color="auto"/>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水田</w:t>
            </w:r>
          </w:p>
        </w:tc>
        <w:tc>
          <w:tcPr>
            <w:tcW w:w="1269" w:type="dxa"/>
            <w:vMerge w:val="restart"/>
            <w:tcBorders>
              <w:top w:val="single" w:sz="4" w:space="0" w:color="auto"/>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1.7870公顷（26.8050亩）</w:t>
            </w: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263万元/公顷（17.5333万元/亩）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469.9810</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872"/>
        </w:trPr>
        <w:tc>
          <w:tcPr>
            <w:tcW w:w="73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color w:val="333333"/>
                <w:szCs w:val="21"/>
                <w:shd w:val="clear" w:color="auto" w:fill="FFFFFF"/>
              </w:rPr>
            </w:pPr>
          </w:p>
        </w:tc>
        <w:tc>
          <w:tcPr>
            <w:tcW w:w="81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131.5万元/公顷（8.7667万元/亩）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234.9905</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944"/>
        </w:trPr>
        <w:tc>
          <w:tcPr>
            <w:tcW w:w="73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818" w:type="dxa"/>
            <w:vMerge w:val="restart"/>
            <w:tcBorders>
              <w:top w:val="single" w:sz="4" w:space="0" w:color="auto"/>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水浇地</w:t>
            </w:r>
          </w:p>
        </w:tc>
        <w:tc>
          <w:tcPr>
            <w:tcW w:w="1269" w:type="dxa"/>
            <w:vMerge w:val="restart"/>
            <w:tcBorders>
              <w:top w:val="single" w:sz="4" w:space="0" w:color="auto"/>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0.0590公顷（0.8850亩）</w:t>
            </w: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11.6378</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871"/>
        </w:trPr>
        <w:tc>
          <w:tcPr>
            <w:tcW w:w="73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11.6378</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1001"/>
        </w:trPr>
        <w:tc>
          <w:tcPr>
            <w:tcW w:w="73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818" w:type="dxa"/>
            <w:vMerge w:val="restart"/>
            <w:tcBorders>
              <w:top w:val="single" w:sz="4" w:space="0" w:color="auto"/>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园地</w:t>
            </w:r>
          </w:p>
        </w:tc>
        <w:tc>
          <w:tcPr>
            <w:tcW w:w="1269" w:type="dxa"/>
            <w:vMerge w:val="restart"/>
            <w:tcBorders>
              <w:top w:val="single" w:sz="4" w:space="0" w:color="auto"/>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0.0773公顷（1.1595亩）</w:t>
            </w: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15.2474</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772"/>
        </w:trPr>
        <w:tc>
          <w:tcPr>
            <w:tcW w:w="73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818" w:type="dxa"/>
            <w:vMerge/>
            <w:tcBorders>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1269" w:type="dxa"/>
            <w:vMerge/>
            <w:tcBorders>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15.2474</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946"/>
        </w:trPr>
        <w:tc>
          <w:tcPr>
            <w:tcW w:w="73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818" w:type="dxa"/>
            <w:vMerge w:val="restart"/>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其他农用地</w:t>
            </w:r>
          </w:p>
        </w:tc>
        <w:tc>
          <w:tcPr>
            <w:tcW w:w="1269" w:type="dxa"/>
            <w:vMerge w:val="restart"/>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b/>
                <w:bCs/>
                <w:szCs w:val="21"/>
              </w:rPr>
            </w:pPr>
            <w:r>
              <w:rPr>
                <w:rFonts w:ascii="仿宋_GB2312" w:eastAsia="仿宋_GB2312" w:hAnsi="仿宋_GB2312" w:cs="仿宋_GB2312" w:hint="eastAsia"/>
                <w:szCs w:val="21"/>
              </w:rPr>
              <w:t>0.8405公顷（12.6075亩）</w:t>
            </w: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土地补偿费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165.7886</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946"/>
        </w:trPr>
        <w:tc>
          <w:tcPr>
            <w:tcW w:w="73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818"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1269" w:type="dxa"/>
            <w:vMerge/>
            <w:tcBorders>
              <w:left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c>
          <w:tcPr>
            <w:tcW w:w="969"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安置补助费</w:t>
            </w:r>
          </w:p>
        </w:tc>
        <w:tc>
          <w:tcPr>
            <w:tcW w:w="144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197.25万元/公顷（13.15万元/亩）</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color w:val="000000"/>
                <w:szCs w:val="21"/>
              </w:rPr>
              <w:t>165.7886</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color w:val="333333"/>
                <w:szCs w:val="21"/>
                <w:shd w:val="clear" w:color="auto" w:fill="FFFFFF"/>
              </w:rPr>
            </w:pPr>
            <w:r>
              <w:rPr>
                <w:rFonts w:ascii="仿宋_GB2312" w:eastAsia="仿宋_GB2312" w:hAnsi="仿宋_GB2312" w:cs="仿宋_GB2312" w:hint="eastAsia"/>
                <w:szCs w:val="21"/>
              </w:rPr>
              <w:t>大岗镇放马村股份合作经济社</w:t>
            </w: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652"/>
        </w:trPr>
        <w:tc>
          <w:tcPr>
            <w:tcW w:w="738" w:type="dxa"/>
            <w:vMerge/>
            <w:tcBorders>
              <w:left w:val="single" w:sz="4" w:space="0" w:color="auto"/>
              <w:right w:val="single" w:sz="4" w:space="0" w:color="auto"/>
            </w:tcBorders>
            <w:vAlign w:val="center"/>
          </w:tcPr>
          <w:p w:rsidR="0049630E" w:rsidRDefault="0049630E" w:rsidP="004A10F2">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青苗补助费</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62.1855</w:t>
            </w:r>
          </w:p>
        </w:tc>
        <w:tc>
          <w:tcPr>
            <w:tcW w:w="1466" w:type="dxa"/>
            <w:vMerge w:val="restart"/>
            <w:tcBorders>
              <w:top w:val="single" w:sz="4" w:space="0" w:color="auto"/>
              <w:left w:val="single" w:sz="4" w:space="0" w:color="auto"/>
              <w:bottom w:val="single" w:sz="4" w:space="0" w:color="auto"/>
              <w:right w:val="single" w:sz="4" w:space="0" w:color="auto"/>
            </w:tcBorders>
            <w:vAlign w:val="center"/>
          </w:tcPr>
          <w:p w:rsidR="0049630E" w:rsidRDefault="0049630E" w:rsidP="004A10F2">
            <w:pPr>
              <w:shd w:val="solid" w:color="FFFFFF" w:fill="auto"/>
              <w:autoSpaceDN w:val="0"/>
              <w:snapToGrid w:val="0"/>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大岗镇放马村股份合作经济社转付土地承包者和业权人</w:t>
            </w:r>
          </w:p>
        </w:tc>
        <w:tc>
          <w:tcPr>
            <w:tcW w:w="890" w:type="dxa"/>
            <w:vMerge w:val="restart"/>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24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货币</w:t>
            </w:r>
          </w:p>
        </w:tc>
      </w:tr>
      <w:tr w:rsidR="0049630E" w:rsidTr="004A10F2">
        <w:trPr>
          <w:trHeight w:val="645"/>
        </w:trPr>
        <w:tc>
          <w:tcPr>
            <w:tcW w:w="738" w:type="dxa"/>
            <w:vMerge/>
            <w:tcBorders>
              <w:left w:val="single" w:sz="4" w:space="0" w:color="auto"/>
              <w:bottom w:val="single" w:sz="4" w:space="0" w:color="auto"/>
              <w:right w:val="single" w:sz="4" w:space="0" w:color="auto"/>
            </w:tcBorders>
            <w:vAlign w:val="center"/>
          </w:tcPr>
          <w:p w:rsidR="0049630E" w:rsidRDefault="0049630E" w:rsidP="004A10F2">
            <w:pPr>
              <w:widowControl/>
              <w:jc w:val="center"/>
              <w:rPr>
                <w:rFonts w:ascii="仿宋_GB2312" w:eastAsia="仿宋_GB2312" w:hAnsi="仿宋_GB2312" w:cs="仿宋_GB2312" w:hint="eastAsia"/>
                <w:szCs w:val="21"/>
              </w:rPr>
            </w:pPr>
          </w:p>
        </w:tc>
        <w:tc>
          <w:tcPr>
            <w:tcW w:w="4502" w:type="dxa"/>
            <w:gridSpan w:val="4"/>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附着物补偿</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spacing w:line="580" w:lineRule="exact"/>
              <w:jc w:val="center"/>
              <w:rPr>
                <w:rFonts w:ascii="仿宋_GB2312" w:eastAsia="仿宋_GB2312" w:hAnsi="仿宋_GB2312" w:cs="仿宋_GB2312" w:hint="eastAsia"/>
                <w:szCs w:val="21"/>
              </w:rPr>
            </w:pPr>
            <w:r>
              <w:rPr>
                <w:rFonts w:ascii="仿宋_GB2312" w:eastAsia="仿宋_GB2312" w:hAnsi="仿宋_GB2312" w:cs="仿宋_GB2312" w:hint="eastAsia"/>
                <w:szCs w:val="21"/>
              </w:rPr>
              <w:t>62.1855</w:t>
            </w:r>
          </w:p>
        </w:tc>
        <w:tc>
          <w:tcPr>
            <w:tcW w:w="1466" w:type="dxa"/>
            <w:vMerge/>
            <w:tcBorders>
              <w:top w:val="single" w:sz="4" w:space="0" w:color="auto"/>
              <w:left w:val="single" w:sz="4" w:space="0" w:color="auto"/>
              <w:bottom w:val="single" w:sz="4" w:space="0" w:color="auto"/>
              <w:right w:val="single" w:sz="4" w:space="0" w:color="auto"/>
            </w:tcBorders>
            <w:vAlign w:val="center"/>
          </w:tcPr>
          <w:p w:rsidR="0049630E" w:rsidRDefault="0049630E" w:rsidP="004A10F2">
            <w:pPr>
              <w:widowControl/>
              <w:jc w:val="center"/>
              <w:rPr>
                <w:rFonts w:ascii="仿宋_GB2312" w:eastAsia="仿宋_GB2312" w:hAnsi="仿宋_GB2312" w:cs="仿宋_GB2312" w:hint="eastAsia"/>
                <w:szCs w:val="21"/>
              </w:rPr>
            </w:pPr>
          </w:p>
        </w:tc>
        <w:tc>
          <w:tcPr>
            <w:tcW w:w="890" w:type="dxa"/>
            <w:vMerge/>
            <w:tcBorders>
              <w:top w:val="single" w:sz="4" w:space="0" w:color="auto"/>
              <w:left w:val="single" w:sz="4" w:space="0" w:color="auto"/>
              <w:bottom w:val="single" w:sz="4" w:space="0" w:color="auto"/>
              <w:right w:val="single" w:sz="4" w:space="0" w:color="auto"/>
            </w:tcBorders>
            <w:vAlign w:val="center"/>
          </w:tcPr>
          <w:p w:rsidR="0049630E" w:rsidRDefault="0049630E" w:rsidP="004A10F2">
            <w:pPr>
              <w:widowControl/>
              <w:jc w:val="center"/>
              <w:rPr>
                <w:rFonts w:ascii="仿宋_GB2312" w:eastAsia="仿宋_GB2312" w:hAnsi="仿宋_GB2312" w:cs="仿宋_GB2312" w:hint="eastAsia"/>
                <w:szCs w:val="21"/>
              </w:rPr>
            </w:pPr>
          </w:p>
        </w:tc>
      </w:tr>
      <w:tr w:rsidR="0049630E" w:rsidTr="004A10F2">
        <w:trPr>
          <w:trHeight w:val="570"/>
        </w:trPr>
        <w:tc>
          <w:tcPr>
            <w:tcW w:w="5240" w:type="dxa"/>
            <w:gridSpan w:val="5"/>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r>
              <w:rPr>
                <w:rFonts w:ascii="仿宋_GB2312" w:eastAsia="仿宋_GB2312" w:hAnsi="仿宋_GB2312" w:cs="仿宋_GB2312" w:hint="eastAsia"/>
                <w:szCs w:val="21"/>
              </w:rPr>
              <w:t>合计</w:t>
            </w:r>
          </w:p>
        </w:tc>
        <w:tc>
          <w:tcPr>
            <w:tcW w:w="1227"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widowControl/>
              <w:jc w:val="center"/>
              <w:textAlignment w:val="center"/>
              <w:rPr>
                <w:rFonts w:ascii="仿宋_GB2312" w:eastAsia="仿宋_GB2312" w:hAnsi="仿宋_GB2312" w:cs="仿宋_GB2312" w:hint="eastAsia"/>
                <w:b/>
                <w:bCs/>
                <w:color w:val="000000"/>
                <w:szCs w:val="21"/>
              </w:rPr>
            </w:pPr>
            <w:r>
              <w:rPr>
                <w:rFonts w:ascii="仿宋_GB2312" w:eastAsia="仿宋_GB2312" w:hAnsi="仿宋_GB2312" w:cs="仿宋_GB2312" w:hint="eastAsia"/>
                <w:b/>
                <w:bCs/>
                <w:color w:val="000000"/>
                <w:kern w:val="0"/>
                <w:szCs w:val="21"/>
                <w:lang w:bidi="ar"/>
              </w:rPr>
              <w:t>1214.6901</w:t>
            </w:r>
          </w:p>
        </w:tc>
        <w:tc>
          <w:tcPr>
            <w:tcW w:w="1466"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b/>
                <w:bCs/>
                <w:szCs w:val="21"/>
              </w:rPr>
            </w:pPr>
          </w:p>
        </w:tc>
        <w:tc>
          <w:tcPr>
            <w:tcW w:w="890" w:type="dxa"/>
            <w:tcBorders>
              <w:top w:val="single" w:sz="4" w:space="0" w:color="auto"/>
              <w:left w:val="single" w:sz="4" w:space="0" w:color="auto"/>
              <w:bottom w:val="single" w:sz="4" w:space="0" w:color="auto"/>
              <w:right w:val="single" w:sz="4" w:space="0" w:color="auto"/>
            </w:tcBorders>
            <w:vAlign w:val="center"/>
          </w:tcPr>
          <w:p w:rsidR="0049630E" w:rsidRDefault="0049630E" w:rsidP="004A10F2">
            <w:pPr>
              <w:jc w:val="center"/>
              <w:rPr>
                <w:rFonts w:ascii="仿宋_GB2312" w:eastAsia="仿宋_GB2312" w:hAnsi="仿宋_GB2312" w:cs="仿宋_GB2312" w:hint="eastAsia"/>
                <w:szCs w:val="21"/>
              </w:rPr>
            </w:pPr>
          </w:p>
        </w:tc>
      </w:tr>
    </w:tbl>
    <w:p w:rsidR="0049630E" w:rsidRDefault="0049630E" w:rsidP="0049630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根据广州市人民政府办公厅《关于进一步加强征收农村集体土地留用地管理的意见》（穗府办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〔2018〕17号）的规定，在保证货币安置兑现落实的同时，我区将按规定预留经济发展用地给被征地单位作生产发展用地。涉及到房屋拆迁的，按照广州南沙区人民政府有关规定的标准进行补偿安置。</w:t>
      </w:r>
    </w:p>
    <w:p w:rsidR="0049630E" w:rsidRDefault="0049630E" w:rsidP="0049630E">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征地范围内的青苗补偿费及地上附着物按南沙区政府有关规定进行补偿。我区承诺在我区</w:t>
      </w:r>
      <w:proofErr w:type="gramStart"/>
      <w:r>
        <w:rPr>
          <w:rFonts w:ascii="仿宋_GB2312" w:eastAsia="仿宋_GB2312" w:hAnsi="仿宋_GB2312" w:cs="仿宋_GB2312" w:hint="eastAsia"/>
          <w:sz w:val="32"/>
          <w:szCs w:val="32"/>
        </w:rPr>
        <w:t>片综合</w:t>
      </w:r>
      <w:proofErr w:type="gramEnd"/>
      <w:r>
        <w:rPr>
          <w:rFonts w:ascii="仿宋_GB2312" w:eastAsia="仿宋_GB2312" w:hAnsi="仿宋_GB2312" w:cs="仿宋_GB2312" w:hint="eastAsia"/>
          <w:sz w:val="32"/>
          <w:szCs w:val="32"/>
        </w:rPr>
        <w:t>地价公布实施后，做好该批次用地与</w:t>
      </w:r>
      <w:proofErr w:type="gramStart"/>
      <w:r>
        <w:rPr>
          <w:rFonts w:ascii="仿宋_GB2312" w:eastAsia="仿宋_GB2312" w:hAnsi="仿宋_GB2312" w:cs="仿宋_GB2312" w:hint="eastAsia"/>
          <w:sz w:val="32"/>
          <w:szCs w:val="32"/>
        </w:rPr>
        <w:t>征地区片综合</w:t>
      </w:r>
      <w:proofErr w:type="gramEnd"/>
      <w:r>
        <w:rPr>
          <w:rFonts w:ascii="仿宋_GB2312" w:eastAsia="仿宋_GB2312" w:hAnsi="仿宋_GB2312" w:cs="仿宋_GB2312" w:hint="eastAsia"/>
          <w:sz w:val="32"/>
          <w:szCs w:val="32"/>
        </w:rPr>
        <w:t>地价实施的衔接工作。</w:t>
      </w:r>
    </w:p>
    <w:p w:rsidR="0049630E" w:rsidRDefault="0049630E" w:rsidP="0049630E">
      <w:pPr>
        <w:spacing w:line="560" w:lineRule="exact"/>
        <w:rPr>
          <w:rFonts w:ascii="仿宋" w:eastAsia="仿宋" w:hAnsi="仿宋" w:cs="仿宋_GB2312" w:hint="eastAsia"/>
          <w:sz w:val="32"/>
          <w:szCs w:val="32"/>
        </w:rPr>
      </w:pPr>
    </w:p>
    <w:p w:rsidR="0049630E" w:rsidRDefault="0049630E" w:rsidP="0049630E">
      <w:pPr>
        <w:spacing w:line="560" w:lineRule="exact"/>
        <w:rPr>
          <w:rFonts w:ascii="仿宋" w:eastAsia="仿宋" w:hAnsi="仿宋" w:cs="仿宋_GB2312" w:hint="eastAsia"/>
          <w:sz w:val="32"/>
          <w:szCs w:val="32"/>
        </w:rPr>
      </w:pPr>
    </w:p>
    <w:p w:rsidR="0049630E" w:rsidRDefault="0049630E" w:rsidP="0049630E">
      <w:pPr>
        <w:spacing w:line="560" w:lineRule="exact"/>
        <w:rPr>
          <w:rFonts w:ascii="仿宋" w:eastAsia="仿宋" w:hAnsi="仿宋" w:cs="仿宋_GB2312"/>
          <w:sz w:val="32"/>
          <w:szCs w:val="32"/>
        </w:rPr>
      </w:pPr>
    </w:p>
    <w:p w:rsidR="0049630E" w:rsidRDefault="0049630E" w:rsidP="0049630E">
      <w:pPr>
        <w:jc w:val="right"/>
        <w:rPr>
          <w:rFonts w:ascii="仿宋" w:eastAsia="仿宋" w:hAnsi="仿宋" w:cs="仿宋_GB2312"/>
          <w:sz w:val="32"/>
          <w:szCs w:val="32"/>
        </w:rPr>
      </w:pPr>
      <w:r>
        <w:rPr>
          <w:rFonts w:ascii="仿宋" w:eastAsia="仿宋" w:hAnsi="仿宋" w:cs="仿宋_GB2312" w:hint="eastAsia"/>
          <w:sz w:val="32"/>
          <w:szCs w:val="32"/>
        </w:rPr>
        <w:t>广州市规划和自然资源局南沙区分局</w:t>
      </w:r>
    </w:p>
    <w:p w:rsidR="0049630E" w:rsidRDefault="0049630E" w:rsidP="0049630E">
      <w:pPr>
        <w:spacing w:line="560" w:lineRule="exact"/>
        <w:ind w:right="640" w:firstLineChars="200" w:firstLine="640"/>
        <w:jc w:val="center"/>
        <w:rPr>
          <w:rFonts w:ascii="仿宋" w:eastAsia="仿宋" w:hAnsi="仿宋" w:cs="仿宋_GB2312"/>
          <w:sz w:val="32"/>
          <w:szCs w:val="32"/>
        </w:rPr>
      </w:pPr>
      <w:r>
        <w:rPr>
          <w:rFonts w:ascii="仿宋" w:eastAsia="仿宋" w:hAnsi="仿宋" w:cs="仿宋_GB2312" w:hint="eastAsia"/>
          <w:sz w:val="32"/>
          <w:szCs w:val="32"/>
        </w:rPr>
        <w:t xml:space="preserve">                       2021年7月15日</w:t>
      </w:r>
    </w:p>
    <w:p w:rsidR="00667598" w:rsidRDefault="0049630E" w:rsidP="0049630E">
      <w:r>
        <w:rPr>
          <w:rFonts w:ascii="仿宋" w:eastAsia="仿宋" w:hAnsi="仿宋" w:cs="仿宋_GB2312"/>
          <w:sz w:val="32"/>
          <w:szCs w:val="32"/>
        </w:rPr>
        <w:br w:type="page"/>
      </w:r>
      <w:bookmarkStart w:id="0" w:name="_GoBack"/>
      <w:bookmarkEnd w:id="0"/>
    </w:p>
    <w:sectPr w:rsidR="00667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47F" w:rsidRDefault="0030747F" w:rsidP="0049630E">
      <w:r>
        <w:separator/>
      </w:r>
    </w:p>
  </w:endnote>
  <w:endnote w:type="continuationSeparator" w:id="0">
    <w:p w:rsidR="0030747F" w:rsidRDefault="0030747F" w:rsidP="0049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47F" w:rsidRDefault="0030747F" w:rsidP="0049630E">
      <w:r>
        <w:separator/>
      </w:r>
    </w:p>
  </w:footnote>
  <w:footnote w:type="continuationSeparator" w:id="0">
    <w:p w:rsidR="0030747F" w:rsidRDefault="0030747F" w:rsidP="00496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DFF6"/>
    <w:multiLevelType w:val="singleLevel"/>
    <w:tmpl w:val="1BC3DFF6"/>
    <w:lvl w:ilvl="0">
      <w:start w:val="2"/>
      <w:numFmt w:val="chineseCounting"/>
      <w:suff w:val="nothing"/>
      <w:lvlText w:val="%1、"/>
      <w:lvlJc w:val="left"/>
      <w:rPr>
        <w:rFonts w:hint="eastAsia"/>
      </w:rPr>
    </w:lvl>
  </w:abstractNum>
  <w:abstractNum w:abstractNumId="1">
    <w:nsid w:val="37A0239A"/>
    <w:multiLevelType w:val="multilevel"/>
    <w:tmpl w:val="37A0239A"/>
    <w:lvl w:ilvl="0">
      <w:start w:val="1"/>
      <w:numFmt w:val="none"/>
      <w:lvlText w:val="一、"/>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8F"/>
    <w:rsid w:val="0030747F"/>
    <w:rsid w:val="0049630E"/>
    <w:rsid w:val="00667598"/>
    <w:rsid w:val="009B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0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30E"/>
    <w:rPr>
      <w:sz w:val="18"/>
      <w:szCs w:val="18"/>
    </w:rPr>
  </w:style>
  <w:style w:type="paragraph" w:styleId="a4">
    <w:name w:val="footer"/>
    <w:basedOn w:val="a"/>
    <w:link w:val="Char0"/>
    <w:uiPriority w:val="99"/>
    <w:unhideWhenUsed/>
    <w:rsid w:val="0049630E"/>
    <w:pPr>
      <w:tabs>
        <w:tab w:val="center" w:pos="4153"/>
        <w:tab w:val="right" w:pos="8306"/>
      </w:tabs>
      <w:snapToGrid w:val="0"/>
      <w:jc w:val="left"/>
    </w:pPr>
    <w:rPr>
      <w:sz w:val="18"/>
      <w:szCs w:val="18"/>
    </w:rPr>
  </w:style>
  <w:style w:type="character" w:customStyle="1" w:styleId="Char0">
    <w:name w:val="页脚 Char"/>
    <w:basedOn w:val="a0"/>
    <w:link w:val="a4"/>
    <w:uiPriority w:val="99"/>
    <w:rsid w:val="0049630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30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63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630E"/>
    <w:rPr>
      <w:sz w:val="18"/>
      <w:szCs w:val="18"/>
    </w:rPr>
  </w:style>
  <w:style w:type="paragraph" w:styleId="a4">
    <w:name w:val="footer"/>
    <w:basedOn w:val="a"/>
    <w:link w:val="Char0"/>
    <w:uiPriority w:val="99"/>
    <w:unhideWhenUsed/>
    <w:rsid w:val="0049630E"/>
    <w:pPr>
      <w:tabs>
        <w:tab w:val="center" w:pos="4153"/>
        <w:tab w:val="right" w:pos="8306"/>
      </w:tabs>
      <w:snapToGrid w:val="0"/>
      <w:jc w:val="left"/>
    </w:pPr>
    <w:rPr>
      <w:sz w:val="18"/>
      <w:szCs w:val="18"/>
    </w:rPr>
  </w:style>
  <w:style w:type="character" w:customStyle="1" w:styleId="Char0">
    <w:name w:val="页脚 Char"/>
    <w:basedOn w:val="a0"/>
    <w:link w:val="a4"/>
    <w:uiPriority w:val="99"/>
    <w:rsid w:val="004963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Words>
  <Characters>850</Characters>
  <Application>Microsoft Office Word</Application>
  <DocSecurity>0</DocSecurity>
  <Lines>7</Lines>
  <Paragraphs>1</Paragraphs>
  <ScaleCrop>false</ScaleCrop>
  <Company>Microsoft</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2022-07-14T08:28:00Z</dcterms:created>
  <dcterms:modified xsi:type="dcterms:W3CDTF">2022-07-14T08:28:00Z</dcterms:modified>
</cp:coreProperties>
</file>