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粤府土审（02）〔20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70</w:t>
      </w:r>
      <w:r>
        <w:rPr>
          <w:rFonts w:eastAsia="仿宋_GB2312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广东省人民政府关于广州市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南沙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八十二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批次城镇建设用地的批复</w:t>
      </w:r>
    </w:p>
    <w:p>
      <w:pPr>
        <w:spacing w:line="580" w:lineRule="exact"/>
        <w:jc w:val="center"/>
        <w:rPr>
          <w:rFonts w:eastAsia="楷体_GB2312"/>
          <w:bCs/>
          <w:sz w:val="32"/>
          <w:szCs w:val="32"/>
        </w:rPr>
      </w:pPr>
    </w:p>
    <w:p>
      <w:pPr>
        <w:widowControl/>
        <w:spacing w:line="600" w:lineRule="exact"/>
        <w:jc w:val="center"/>
        <w:textAlignment w:val="baseline"/>
        <w:rPr>
          <w:rFonts w:hint="eastAsia"/>
          <w:b/>
          <w:sz w:val="32"/>
          <w:szCs w:val="32"/>
        </w:rPr>
      </w:pPr>
    </w:p>
    <w:p>
      <w:pPr>
        <w:widowControl/>
        <w:spacing w:line="600" w:lineRule="exact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广州</w:t>
      </w:r>
      <w:r>
        <w:rPr>
          <w:rFonts w:eastAsia="仿宋_GB2312"/>
          <w:sz w:val="32"/>
          <w:szCs w:val="32"/>
        </w:rPr>
        <w:t>市人民政府：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《关于</w:t>
      </w:r>
      <w:r>
        <w:rPr>
          <w:rFonts w:hint="eastAsia" w:eastAsia="仿宋_GB2312"/>
          <w:sz w:val="32"/>
          <w:szCs w:val="32"/>
        </w:rPr>
        <w:t>审批广州市</w:t>
      </w:r>
      <w:r>
        <w:rPr>
          <w:rFonts w:hint="eastAsia" w:eastAsia="仿宋_GB2312"/>
          <w:sz w:val="32"/>
          <w:szCs w:val="32"/>
          <w:lang w:eastAsia="zh-CN"/>
        </w:rPr>
        <w:t>南沙</w:t>
      </w:r>
      <w:r>
        <w:rPr>
          <w:rFonts w:hint="eastAsia"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  <w:lang w:val="en-US" w:eastAsia="zh-CN"/>
        </w:rPr>
        <w:t>2020</w:t>
      </w:r>
      <w:r>
        <w:rPr>
          <w:rFonts w:eastAsia="仿宋_GB2312"/>
          <w:sz w:val="32"/>
          <w:szCs w:val="32"/>
        </w:rPr>
        <w:t>年度第</w:t>
      </w:r>
      <w:r>
        <w:rPr>
          <w:rFonts w:hint="eastAsia" w:eastAsia="仿宋_GB2312"/>
          <w:sz w:val="32"/>
          <w:szCs w:val="32"/>
          <w:lang w:val="en-US" w:eastAsia="zh-CN"/>
        </w:rPr>
        <w:t>八十二</w:t>
      </w:r>
      <w:r>
        <w:rPr>
          <w:rFonts w:eastAsia="仿宋_GB2312"/>
          <w:sz w:val="32"/>
          <w:szCs w:val="32"/>
        </w:rPr>
        <w:t>批次城镇建设用地</w:t>
      </w:r>
      <w:r>
        <w:rPr>
          <w:rFonts w:hint="eastAsia" w:eastAsia="仿宋_GB2312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请示》（</w:t>
      </w:r>
      <w:r>
        <w:rPr>
          <w:rFonts w:hint="eastAsia" w:eastAsia="仿宋_GB2312"/>
          <w:sz w:val="32"/>
          <w:szCs w:val="32"/>
          <w:lang w:eastAsia="zh-CN"/>
        </w:rPr>
        <w:t>穗规划资源南报</w:t>
      </w:r>
      <w:r>
        <w:rPr>
          <w:rFonts w:eastAsia="仿宋_GB2312"/>
          <w:sz w:val="32"/>
          <w:szCs w:val="32"/>
        </w:rPr>
        <w:t>〔</w:t>
      </w:r>
      <w:r>
        <w:rPr>
          <w:rFonts w:hint="eastAsia" w:eastAsia="仿宋_GB2312"/>
          <w:sz w:val="32"/>
          <w:szCs w:val="32"/>
          <w:lang w:val="en-US" w:eastAsia="zh-CN"/>
        </w:rPr>
        <w:t>2022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eastAsia="仿宋_GB2312"/>
          <w:sz w:val="32"/>
          <w:szCs w:val="32"/>
        </w:rPr>
        <w:t>号）及相关材料已通</w:t>
      </w:r>
      <w:r>
        <w:rPr>
          <w:rFonts w:hint="eastAsia" w:eastAsia="仿宋_GB2312"/>
          <w:sz w:val="32"/>
          <w:szCs w:val="32"/>
          <w:lang w:val="en-US" w:eastAsia="zh-CN"/>
        </w:rPr>
        <w:t>过审核。根据《中华人民共和国土地管理法》第四十四、四十五、四十六条</w:t>
      </w:r>
      <w:r>
        <w:rPr>
          <w:rFonts w:eastAsia="仿宋_GB2312"/>
          <w:sz w:val="32"/>
          <w:szCs w:val="32"/>
        </w:rPr>
        <w:t>的有关规定，批复如下：</w:t>
      </w:r>
    </w:p>
    <w:p>
      <w:pPr>
        <w:widowControl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一、</w:t>
      </w:r>
      <w:r>
        <w:rPr>
          <w:rFonts w:hint="eastAsia" w:eastAsia="仿宋_GB2312"/>
          <w:sz w:val="32"/>
          <w:szCs w:val="32"/>
        </w:rPr>
        <w:t>同意</w:t>
      </w:r>
      <w:r>
        <w:rPr>
          <w:rFonts w:hint="eastAsia" w:eastAsia="仿宋_GB2312"/>
          <w:sz w:val="32"/>
          <w:szCs w:val="32"/>
          <w:lang w:eastAsia="zh-CN"/>
        </w:rPr>
        <w:t>上报的农用地转用方案和征收土地方案</w:t>
      </w:r>
      <w:r>
        <w:rPr>
          <w:rFonts w:hint="eastAsia" w:eastAsia="仿宋_GB2312"/>
          <w:sz w:val="32"/>
          <w:szCs w:val="32"/>
        </w:rPr>
        <w:t>。同意你市将</w:t>
      </w:r>
      <w:r>
        <w:rPr>
          <w:rFonts w:hint="eastAsia" w:eastAsia="仿宋_GB2312"/>
          <w:sz w:val="32"/>
          <w:szCs w:val="32"/>
          <w:lang w:eastAsia="zh-CN"/>
        </w:rPr>
        <w:t>南沙</w:t>
      </w:r>
      <w:r>
        <w:rPr>
          <w:rFonts w:hint="default" w:eastAsia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东涌</w:t>
      </w:r>
      <w:r>
        <w:rPr>
          <w:rFonts w:hint="eastAsia"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东深股份合作经济联合社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东涌镇东深村股份合作经济社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东涌镇细沥村股份合作经济社</w:t>
      </w:r>
      <w:r>
        <w:rPr>
          <w:rFonts w:hint="eastAsia" w:eastAsia="仿宋_GB2312"/>
          <w:sz w:val="32"/>
          <w:szCs w:val="32"/>
        </w:rPr>
        <w:t>属下的</w:t>
      </w:r>
      <w:r>
        <w:rPr>
          <w:rFonts w:hint="eastAsia" w:eastAsia="仿宋_GB2312"/>
          <w:sz w:val="32"/>
          <w:szCs w:val="32"/>
          <w:lang w:eastAsia="zh-CN"/>
        </w:rPr>
        <w:t>集体</w:t>
      </w:r>
      <w:r>
        <w:rPr>
          <w:rFonts w:hint="eastAsia" w:ascii="仿宋_GB2312" w:hAnsi="仿宋_GB2312" w:eastAsia="仿宋_GB2312" w:cs="仿宋_GB2312"/>
          <w:sz w:val="32"/>
          <w:szCs w:val="32"/>
        </w:rPr>
        <w:t>农用地</w:t>
      </w:r>
      <w:r>
        <w:rPr>
          <w:rFonts w:hint="eastAsia" w:eastAsia="仿宋_GB2312"/>
          <w:sz w:val="32"/>
          <w:szCs w:val="32"/>
          <w:lang w:val="en-US" w:eastAsia="zh-CN"/>
        </w:rPr>
        <w:t>0.5580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公顷（耕地</w:t>
      </w:r>
      <w:r>
        <w:rPr>
          <w:rFonts w:hint="eastAsia" w:eastAsia="仿宋_GB2312"/>
          <w:sz w:val="32"/>
          <w:szCs w:val="32"/>
          <w:lang w:val="en-US" w:eastAsia="zh-CN"/>
        </w:rPr>
        <w:t>0.0934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公顷、园地</w:t>
      </w:r>
      <w:r>
        <w:rPr>
          <w:rFonts w:hint="eastAsia" w:eastAsia="仿宋_GB2312"/>
          <w:sz w:val="32"/>
          <w:szCs w:val="32"/>
          <w:lang w:val="en-US" w:eastAsia="zh-CN"/>
        </w:rPr>
        <w:t>0.3838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含可调整果园</w:t>
      </w:r>
      <w:r>
        <w:rPr>
          <w:rFonts w:hint="eastAsia" w:eastAsia="仿宋_GB2312"/>
          <w:sz w:val="32"/>
          <w:szCs w:val="32"/>
          <w:lang w:val="en-US" w:eastAsia="zh-CN"/>
        </w:rPr>
        <w:t>0.3386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、其他农用地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0.0808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公顷)</w:t>
      </w:r>
      <w:r>
        <w:rPr>
          <w:rFonts w:hint="eastAsia" w:eastAsia="仿宋_GB2312"/>
          <w:sz w:val="32"/>
          <w:szCs w:val="32"/>
          <w:lang w:eastAsia="zh-CN"/>
        </w:rPr>
        <w:t>转为建设用地</w:t>
      </w:r>
      <w:r>
        <w:rPr>
          <w:rFonts w:hint="eastAsia" w:eastAsia="仿宋_GB2312"/>
          <w:sz w:val="32"/>
          <w:szCs w:val="32"/>
        </w:rPr>
        <w:t>，同时使用上述有关村集体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建设用地</w:t>
      </w:r>
      <w:r>
        <w:rPr>
          <w:rFonts w:hint="eastAsia" w:eastAsia="仿宋_GB2312"/>
          <w:sz w:val="32"/>
          <w:szCs w:val="32"/>
          <w:lang w:val="en-US" w:eastAsia="zh-CN"/>
        </w:rPr>
        <w:t>0.3071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公顷、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未利用地</w:t>
      </w:r>
      <w:r>
        <w:rPr>
          <w:rFonts w:hint="eastAsia" w:eastAsia="仿宋_GB2312"/>
          <w:sz w:val="32"/>
          <w:szCs w:val="32"/>
          <w:lang w:val="en-US" w:eastAsia="zh-CN"/>
        </w:rPr>
        <w:t>0.0002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</w:t>
      </w:r>
      <w:r>
        <w:rPr>
          <w:rFonts w:hint="eastAsia" w:eastAsia="仿宋_GB2312"/>
          <w:sz w:val="32"/>
          <w:szCs w:val="32"/>
        </w:rPr>
        <w:t>，以上合计</w:t>
      </w:r>
      <w:r>
        <w:rPr>
          <w:rFonts w:hint="eastAsia" w:eastAsia="仿宋_GB2312"/>
          <w:sz w:val="32"/>
          <w:szCs w:val="32"/>
          <w:lang w:val="en-US" w:eastAsia="zh-CN"/>
        </w:rPr>
        <w:t>0.8653</w:t>
      </w:r>
      <w:r>
        <w:rPr>
          <w:rFonts w:hint="eastAsia" w:eastAsia="仿宋_GB2312"/>
          <w:sz w:val="32"/>
          <w:szCs w:val="32"/>
        </w:rPr>
        <w:t>公顷集体土地一并办理征收为国有土地手续</w:t>
      </w:r>
      <w:r>
        <w:rPr>
          <w:rFonts w:hint="eastAsia" w:eastAsia="仿宋_GB2312"/>
          <w:sz w:val="32"/>
          <w:szCs w:val="32"/>
          <w:lang w:eastAsia="zh-CN"/>
        </w:rPr>
        <w:t>。另同意你市将</w:t>
      </w:r>
      <w:r>
        <w:rPr>
          <w:rFonts w:hint="eastAsia" w:eastAsia="仿宋_GB2312"/>
          <w:sz w:val="32"/>
          <w:szCs w:val="32"/>
          <w:lang w:val="en-US" w:eastAsia="zh-CN"/>
        </w:rPr>
        <w:t>东涌镇地段</w:t>
      </w:r>
      <w:r>
        <w:rPr>
          <w:rFonts w:hint="eastAsia" w:eastAsia="仿宋_GB2312"/>
          <w:sz w:val="32"/>
          <w:szCs w:val="32"/>
          <w:lang w:eastAsia="zh-CN"/>
        </w:rPr>
        <w:t>政府掌握的国有</w:t>
      </w:r>
      <w:r>
        <w:rPr>
          <w:rFonts w:hint="eastAsia" w:ascii="仿宋_GB2312" w:hAnsi="仿宋_GB2312" w:eastAsia="仿宋_GB2312" w:cs="仿宋_GB2312"/>
          <w:sz w:val="32"/>
          <w:szCs w:val="32"/>
        </w:rPr>
        <w:t>农用地</w:t>
      </w:r>
      <w:r>
        <w:rPr>
          <w:rFonts w:hint="eastAsia" w:eastAsia="仿宋_GB2312"/>
          <w:sz w:val="32"/>
          <w:szCs w:val="32"/>
          <w:lang w:val="en-US" w:eastAsia="zh-CN"/>
        </w:rPr>
        <w:t>2.4683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耕地</w:t>
      </w:r>
      <w:r>
        <w:rPr>
          <w:rFonts w:hint="eastAsia" w:eastAsia="仿宋_GB2312"/>
          <w:sz w:val="32"/>
          <w:szCs w:val="32"/>
          <w:lang w:val="en-US" w:eastAsia="zh-CN"/>
        </w:rPr>
        <w:t>0.1797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公顷、</w:t>
      </w:r>
      <w:r>
        <w:rPr>
          <w:rFonts w:hint="eastAsia" w:ascii="仿宋_GB2312" w:hAnsi="仿宋_GB2312" w:eastAsia="仿宋_GB2312" w:cs="仿宋_GB2312"/>
          <w:sz w:val="32"/>
          <w:szCs w:val="32"/>
        </w:rPr>
        <w:t>园地</w:t>
      </w:r>
      <w:r>
        <w:rPr>
          <w:rFonts w:hint="eastAsia" w:eastAsia="仿宋_GB2312"/>
          <w:sz w:val="32"/>
          <w:szCs w:val="32"/>
          <w:lang w:val="en-US" w:eastAsia="zh-CN"/>
        </w:rPr>
        <w:t>0.1093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含可调整果园</w:t>
      </w:r>
      <w:r>
        <w:rPr>
          <w:rFonts w:hint="eastAsia" w:eastAsia="仿宋_GB2312"/>
          <w:sz w:val="32"/>
          <w:szCs w:val="32"/>
          <w:lang w:val="en-US" w:eastAsia="zh-CN"/>
        </w:rPr>
        <w:t>0.0161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林地</w:t>
      </w:r>
      <w:r>
        <w:rPr>
          <w:rFonts w:hint="eastAsia" w:eastAsia="仿宋_GB2312"/>
          <w:sz w:val="32"/>
          <w:szCs w:val="32"/>
          <w:lang w:val="en-US" w:eastAsia="zh-CN"/>
        </w:rPr>
        <w:t>0.0001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公顷、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其他农用地</w:t>
      </w:r>
      <w:r>
        <w:rPr>
          <w:rFonts w:hint="eastAsia" w:eastAsia="仿宋_GB2312"/>
          <w:sz w:val="32"/>
          <w:szCs w:val="32"/>
          <w:lang w:val="en-US" w:eastAsia="zh-CN"/>
        </w:rPr>
        <w:t>2.1792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  <w:lang w:eastAsia="zh-CN"/>
        </w:rPr>
        <w:t>转为建设用地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同时使用上述有关单位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建设用地</w:t>
      </w:r>
      <w:r>
        <w:rPr>
          <w:rFonts w:hint="eastAsia" w:eastAsia="仿宋_GB2312"/>
          <w:sz w:val="32"/>
          <w:szCs w:val="32"/>
          <w:lang w:val="en-US" w:eastAsia="zh-CN"/>
        </w:rPr>
        <w:t>2.1348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公顷、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未利用地</w:t>
      </w:r>
      <w:r>
        <w:rPr>
          <w:rFonts w:hint="eastAsia" w:eastAsia="仿宋_GB2312"/>
          <w:sz w:val="32"/>
          <w:szCs w:val="32"/>
          <w:lang w:val="en-US" w:eastAsia="zh-CN"/>
        </w:rPr>
        <w:t>0.0010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hint="eastAsia" w:eastAsia="仿宋_GB2312"/>
          <w:sz w:val="32"/>
          <w:szCs w:val="32"/>
        </w:rPr>
        <w:t>上述土地（合计</w:t>
      </w:r>
      <w:r>
        <w:rPr>
          <w:rFonts w:hint="eastAsia" w:eastAsia="仿宋_GB2312"/>
          <w:sz w:val="32"/>
          <w:szCs w:val="32"/>
          <w:lang w:val="en-US" w:eastAsia="zh-CN"/>
        </w:rPr>
        <w:t>5.4694</w:t>
      </w:r>
      <w:r>
        <w:rPr>
          <w:rFonts w:hint="eastAsia" w:eastAsia="仿宋_GB2312"/>
          <w:sz w:val="32"/>
          <w:szCs w:val="32"/>
        </w:rPr>
        <w:t>公顷）经完善相关手续后依照规划安排作为</w:t>
      </w:r>
      <w:r>
        <w:rPr>
          <w:rFonts w:hint="default" w:eastAsia="仿宋_GB2312"/>
          <w:sz w:val="32"/>
          <w:szCs w:val="32"/>
        </w:rPr>
        <w:t>广州市</w:t>
      </w:r>
      <w:r>
        <w:rPr>
          <w:rFonts w:hint="eastAsia" w:eastAsia="仿宋_GB2312"/>
          <w:sz w:val="32"/>
          <w:szCs w:val="32"/>
          <w:lang w:eastAsia="zh-CN"/>
        </w:rPr>
        <w:t>南沙</w:t>
      </w:r>
      <w:r>
        <w:rPr>
          <w:rFonts w:hint="default"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</w:rPr>
        <w:t>城镇建设用地。</w:t>
      </w:r>
    </w:p>
    <w:p>
      <w:pPr>
        <w:widowControl/>
        <w:spacing w:line="560" w:lineRule="exact"/>
        <w:ind w:firstLine="645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二、同</w:t>
      </w:r>
      <w:r>
        <w:rPr>
          <w:rFonts w:hint="eastAsia" w:eastAsia="仿宋_GB2312"/>
          <w:sz w:val="32"/>
          <w:szCs w:val="32"/>
          <w:lang w:val="en-US" w:eastAsia="zh-CN"/>
        </w:rPr>
        <w:t>意上报的补充耕地方案。</w:t>
      </w:r>
      <w:r>
        <w:rPr>
          <w:rFonts w:hint="eastAsia" w:eastAsia="仿宋_GB2312"/>
          <w:sz w:val="32"/>
          <w:szCs w:val="32"/>
          <w:lang w:eastAsia="zh-CN"/>
        </w:rPr>
        <w:t>对应核销耕地数量、水田规模和标准粮食产能指标（</w:t>
      </w:r>
      <w:r>
        <w:rPr>
          <w:rFonts w:hint="eastAsia" w:ascii="仿宋_GB2312" w:hAnsi="仿宋_GB2312" w:eastAsia="仿宋_GB2312" w:cs="仿宋_GB2312"/>
          <w:sz w:val="32"/>
          <w:szCs w:val="32"/>
        </w:rPr>
        <w:t>确认信息编号为</w:t>
      </w:r>
      <w:r>
        <w:rPr>
          <w:rFonts w:hint="eastAsia" w:eastAsia="仿宋_GB2312"/>
          <w:sz w:val="32"/>
          <w:szCs w:val="32"/>
          <w:lang w:val="en-US" w:eastAsia="zh-CN"/>
        </w:rPr>
        <w:t>440000202112065051），已落实占补平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衡。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三、该批次用地在土地利用总体规划中安排为城乡建设用地，供地时土地用途应与土地利用总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体规划中的规划安排相符；同时，供地方式、供地规</w:t>
      </w:r>
      <w:r>
        <w:rPr>
          <w:rFonts w:eastAsia="仿宋_GB2312"/>
          <w:color w:val="000000"/>
          <w:sz w:val="32"/>
          <w:szCs w:val="32"/>
        </w:rPr>
        <w:t>模、供地标准等应严格按照国家和省的有关规定执行，切实做到节约集约用地。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四、请你市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人民政府督促相关区县按规定</w:t>
      </w:r>
      <w:r>
        <w:rPr>
          <w:rFonts w:eastAsia="仿宋_GB2312"/>
          <w:color w:val="000000"/>
          <w:sz w:val="32"/>
          <w:szCs w:val="32"/>
        </w:rPr>
        <w:t>发布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征收土地</w:t>
      </w:r>
      <w:r>
        <w:rPr>
          <w:rFonts w:eastAsia="仿宋_GB2312"/>
          <w:color w:val="000000"/>
          <w:sz w:val="32"/>
          <w:szCs w:val="32"/>
        </w:rPr>
        <w:t>公告，依法组织实施征地，切实保障被征地群众生活出路。征地补偿安置不落实的，不得强行使用被征土地。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五、</w:t>
      </w:r>
      <w:r>
        <w:rPr>
          <w:rFonts w:eastAsia="仿宋_GB2312"/>
          <w:sz w:val="32"/>
          <w:szCs w:val="32"/>
        </w:rPr>
        <w:t>使用土地涉及有关税费的收缴或调整，请按有关规定办理。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eastAsia="仿宋_GB2312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征地批后实施情况和具体项目供地情况须按</w:t>
      </w:r>
      <w:r>
        <w:rPr>
          <w:rFonts w:eastAsia="仿宋_GB2312"/>
          <w:sz w:val="32"/>
          <w:szCs w:val="32"/>
        </w:rPr>
        <w:t>规定报备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widowControl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广东省人民政府</w:t>
      </w:r>
    </w:p>
    <w:p>
      <w:pPr>
        <w:widowControl/>
        <w:spacing w:line="600" w:lineRule="exact"/>
        <w:ind w:firstLine="645"/>
        <w:jc w:val="center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</w:t>
      </w:r>
      <w:r>
        <w:rPr>
          <w:rFonts w:hint="eastAsia" w:eastAsia="仿宋_GB2312"/>
          <w:sz w:val="32"/>
          <w:szCs w:val="32"/>
          <w:lang w:val="en-US" w:eastAsia="zh-CN"/>
        </w:rPr>
        <w:t>2022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>日</w:t>
      </w:r>
    </w:p>
    <w:p>
      <w:pPr>
        <w:widowControl/>
        <w:spacing w:line="600" w:lineRule="exact"/>
        <w:textAlignment w:val="baseline"/>
        <w:rPr>
          <w:rFonts w:hint="eastAsia" w:eastAsia="仿宋_GB2312"/>
          <w:sz w:val="32"/>
          <w:szCs w:val="32"/>
        </w:rPr>
      </w:pPr>
    </w:p>
    <w:p>
      <w:bookmarkStart w:id="0" w:name="_GoBack"/>
      <w:bookmarkEnd w:id="0"/>
    </w:p>
    <w:p/>
    <w:sectPr>
      <w:footerReference r:id="rId3" w:type="default"/>
      <w:footerReference r:id="rId4" w:type="even"/>
      <w:pgSz w:w="11906" w:h="16838"/>
      <w:pgMar w:top="1814" w:right="1361" w:bottom="1474" w:left="1531" w:header="851" w:footer="158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4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OTBmNzRkOTg4N2I2YWFmMmY4YzlmZmQxMjcxYTAifQ=="/>
  </w:docVars>
  <w:rsids>
    <w:rsidRoot w:val="00000000"/>
    <w:rsid w:val="089231BF"/>
    <w:rsid w:val="1D6C72A0"/>
    <w:rsid w:val="1F6878A0"/>
    <w:rsid w:val="23FF27D3"/>
    <w:rsid w:val="2589436A"/>
    <w:rsid w:val="27AD5569"/>
    <w:rsid w:val="28396B27"/>
    <w:rsid w:val="2EB418E0"/>
    <w:rsid w:val="3A2517F0"/>
    <w:rsid w:val="3EC61362"/>
    <w:rsid w:val="4CBA2A6D"/>
    <w:rsid w:val="4EDF4175"/>
    <w:rsid w:val="51A8035D"/>
    <w:rsid w:val="541E5E5E"/>
    <w:rsid w:val="576C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pacing w:line="720" w:lineRule="exact"/>
      <w:jc w:val="center"/>
      <w:textAlignment w:val="baseline"/>
      <w:outlineLvl w:val="0"/>
    </w:pPr>
    <w:rPr>
      <w:rFonts w:ascii="方正小标宋简体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837</Words>
  <Characters>962</Characters>
  <Lines>0</Lines>
  <Paragraphs>0</Paragraphs>
  <TotalTime>14</TotalTime>
  <ScaleCrop>false</ScaleCrop>
  <LinksUpToDate>false</LinksUpToDate>
  <CharactersWithSpaces>1050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荏苒   </cp:lastModifiedBy>
  <dcterms:modified xsi:type="dcterms:W3CDTF">2022-07-15T07:36:42Z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2E51626361514FF3B9E5F8F77F352EEA</vt:lpwstr>
  </property>
</Properties>
</file>