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521" w:after="0" w:line="363" w:lineRule="exact"/>
        <w:ind w:left="5518" w:right="0" w:firstLine="0"/>
        <w:jc w:val="left"/>
        <w:rPr>
          <w:rFonts w:hint="default" w:ascii="Times New Roman" w:hAnsi="Times New Roman" w:cs="Times New Roman"/>
          <w:color w:val="000000"/>
          <w:spacing w:val="0"/>
          <w:sz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lang w:eastAsia="zh-CN"/>
        </w:rPr>
        <w:t>自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</w:rPr>
        <w:t>然资函〔2022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</w:rPr>
        <w:t>〕797 号</w:t>
      </w:r>
    </w:p>
    <w:p>
      <w:pPr>
        <w:spacing w:before="616" w:after="0" w:line="562" w:lineRule="exact"/>
        <w:ind w:left="79" w:right="0" w:firstLine="0"/>
        <w:jc w:val="left"/>
        <w:rPr>
          <w:rFonts w:hint="eastAsia" w:ascii="方正小标宋简体" w:hAnsi="方正小标宋简体" w:eastAsia="方正小标宋简体" w:cs="方正小标宋简体"/>
          <w:color w:val="000000"/>
          <w:spacing w:val="0"/>
          <w:sz w:val="44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pacing w:val="1"/>
          <w:sz w:val="44"/>
        </w:rPr>
        <w:t>自然资源部关于广州增城至佛山高速公路（增</w:t>
      </w:r>
      <w:r>
        <w:rPr>
          <w:rFonts w:hint="eastAsia" w:ascii="方正小标宋简体" w:hAnsi="方正小标宋简体" w:eastAsia="方正小标宋简体" w:cs="方正小标宋简体"/>
          <w:color w:val="000000"/>
          <w:spacing w:val="1"/>
          <w:sz w:val="44"/>
        </w:rPr>
        <w:cr/>
      </w:r>
      <w:r>
        <w:rPr>
          <w:rFonts w:hint="eastAsia" w:ascii="方正小标宋简体" w:hAnsi="方正小标宋简体" w:eastAsia="方正小标宋简体" w:cs="方正小标宋简体"/>
          <w:color w:val="000000"/>
          <w:spacing w:val="989"/>
          <w:sz w:val="44"/>
        </w:rPr>
        <w:t xml:space="preserve"> </w:t>
      </w:r>
      <w:r>
        <w:rPr>
          <w:rFonts w:hint="eastAsia" w:ascii="方正小标宋简体" w:hAnsi="方正小标宋简体" w:eastAsia="方正小标宋简体" w:cs="方正小标宋简体"/>
          <w:color w:val="000000"/>
          <w:spacing w:val="1"/>
          <w:sz w:val="44"/>
        </w:rPr>
        <w:t>城至天河段）工程建设用地的批复</w:t>
      </w:r>
    </w:p>
    <w:p>
      <w:pPr>
        <w:spacing w:before="706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广东省人民政府：</w:t>
      </w:r>
    </w:p>
    <w:p>
      <w:pPr>
        <w:spacing w:before="233" w:after="0" w:line="329" w:lineRule="exact"/>
        <w:ind w:left="641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你省《关于审批广州增城至佛山高速公路（增城至天河段）</w:t>
      </w:r>
    </w:p>
    <w:p>
      <w:pPr>
        <w:spacing w:before="220" w:after="0" w:line="363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工程项目用地的请示》（粤府〔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2022</w:t>
      </w:r>
      <w:r>
        <w:rPr>
          <w:rFonts w:hint="default" w:ascii="Times New Roman" w:hAnsi="Times New Roman" w:eastAsia="仿宋_GB2312" w:cs="Times New Roman"/>
          <w:color w:val="000000"/>
          <w:spacing w:val="3"/>
          <w:sz w:val="32"/>
          <w:szCs w:val="32"/>
        </w:rPr>
        <w:t>〕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34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号）业经国务院批准，</w:t>
      </w:r>
    </w:p>
    <w:p>
      <w:pPr>
        <w:spacing w:before="206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现批复如下：</w:t>
      </w:r>
    </w:p>
    <w:p>
      <w:pPr>
        <w:spacing w:before="233" w:after="0" w:line="329" w:lineRule="exact"/>
        <w:ind w:left="641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一、同意广州市白云区、黄埔区、增城区将农民集体所有农</w:t>
      </w:r>
    </w:p>
    <w:p>
      <w:pPr>
        <w:spacing w:before="220" w:after="0" w:line="363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用地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356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688</w:t>
      </w:r>
      <w:r>
        <w:rPr>
          <w:rFonts w:hint="default" w:ascii="Times New Roman" w:hAnsi="Times New Roman" w:eastAsia="仿宋_GB2312" w:cs="Times New Roman"/>
          <w:color w:val="000000"/>
          <w:spacing w:val="-16"/>
          <w:sz w:val="32"/>
          <w:szCs w:val="32"/>
        </w:rPr>
        <w:t>公顷（其中耕地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28</w:t>
      </w:r>
      <w:r>
        <w:rPr>
          <w:rFonts w:hint="eastAsia" w:ascii="Times New Roman" w:hAnsi="Times New Roman" w:eastAsia="仿宋_GB2312" w:cs="Times New Roman"/>
          <w:color w:val="000000"/>
          <w:spacing w:val="0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0415</w:t>
      </w:r>
      <w:r>
        <w:rPr>
          <w:rFonts w:hint="default" w:ascii="Times New Roman" w:hAnsi="Times New Roman" w:eastAsia="仿宋_GB2312" w:cs="Times New Roman"/>
          <w:color w:val="000000"/>
          <w:spacing w:val="-11"/>
          <w:sz w:val="32"/>
          <w:szCs w:val="32"/>
        </w:rPr>
        <w:t>公顷，含永久基本农田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63</w:t>
      </w:r>
      <w:r>
        <w:rPr>
          <w:rFonts w:hint="eastAsia" w:ascii="Times New Roman" w:hAnsi="Times New Roman" w:eastAsia="仿宋_GB2312" w:cs="Times New Roman"/>
          <w:color w:val="000000"/>
          <w:spacing w:val="0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4777</w:t>
      </w:r>
    </w:p>
    <w:p>
      <w:pPr>
        <w:spacing w:before="196" w:after="0" w:line="363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4"/>
          <w:sz w:val="32"/>
          <w:szCs w:val="32"/>
        </w:rPr>
        <w:t>公顷）、未利用地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0</w:t>
      </w:r>
      <w:r>
        <w:rPr>
          <w:rFonts w:hint="eastAsia" w:ascii="Times New Roman" w:hAnsi="Times New Roman" w:eastAsia="仿宋_GB2312" w:cs="Times New Roman"/>
          <w:color w:val="000000"/>
          <w:spacing w:val="1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2072</w:t>
      </w:r>
      <w:r>
        <w:rPr>
          <w:rFonts w:hint="default" w:ascii="Times New Roman" w:hAnsi="Times New Roman" w:eastAsia="仿宋_GB2312" w:cs="Times New Roman"/>
          <w:color w:val="000000"/>
          <w:spacing w:val="4"/>
          <w:sz w:val="32"/>
          <w:szCs w:val="32"/>
        </w:rPr>
        <w:t>公顷转为建设用地并办理征地手续，另</w:t>
      </w:r>
    </w:p>
    <w:p>
      <w:pPr>
        <w:spacing w:before="198" w:after="0" w:line="363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32"/>
          <w:sz w:val="32"/>
          <w:szCs w:val="32"/>
        </w:rPr>
        <w:t>征收农民集体所有建设用地</w:t>
      </w:r>
      <w:r>
        <w:rPr>
          <w:rFonts w:hint="default" w:ascii="Times New Roman" w:hAnsi="Times New Roman" w:eastAsia="仿宋_GB2312" w:cs="Times New Roman"/>
          <w:color w:val="000000"/>
          <w:spacing w:val="6"/>
          <w:sz w:val="32"/>
          <w:szCs w:val="32"/>
        </w:rPr>
        <w:t>1</w:t>
      </w:r>
      <w:r>
        <w:rPr>
          <w:rFonts w:hint="eastAsia" w:ascii="Times New Roman" w:hAnsi="Times New Roman" w:eastAsia="仿宋_GB2312" w:cs="Times New Roman"/>
          <w:color w:val="000000"/>
          <w:spacing w:val="6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6"/>
          <w:sz w:val="32"/>
          <w:szCs w:val="32"/>
        </w:rPr>
        <w:t>5912</w:t>
      </w:r>
      <w:r>
        <w:rPr>
          <w:rFonts w:hint="default" w:ascii="Times New Roman" w:hAnsi="Times New Roman" w:eastAsia="仿宋_GB2312" w:cs="Times New Roman"/>
          <w:color w:val="000000"/>
          <w:spacing w:val="29"/>
          <w:sz w:val="32"/>
          <w:szCs w:val="32"/>
        </w:rPr>
        <w:t>公顷；同意将国有农用地</w:t>
      </w:r>
    </w:p>
    <w:p>
      <w:pPr>
        <w:spacing w:before="196" w:after="0" w:line="363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27</w:t>
      </w:r>
      <w:r>
        <w:rPr>
          <w:rFonts w:hint="eastAsia" w:ascii="Times New Roman" w:hAnsi="Times New Roman" w:eastAsia="仿宋_GB2312" w:cs="Times New Roman"/>
          <w:color w:val="000000"/>
          <w:spacing w:val="0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5971</w:t>
      </w:r>
      <w:r>
        <w:rPr>
          <w:rFonts w:hint="default" w:ascii="Times New Roman" w:hAnsi="Times New Roman" w:eastAsia="仿宋_GB2312" w:cs="Times New Roman"/>
          <w:color w:val="000000"/>
          <w:spacing w:val="-16"/>
          <w:sz w:val="32"/>
          <w:szCs w:val="32"/>
        </w:rPr>
        <w:t>公顷（其中耕地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0</w:t>
      </w:r>
      <w:r>
        <w:rPr>
          <w:rFonts w:hint="eastAsia" w:ascii="Times New Roman" w:hAnsi="Times New Roman" w:eastAsia="仿宋_GB2312" w:cs="Times New Roman"/>
          <w:color w:val="000000"/>
          <w:spacing w:val="1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2822</w:t>
      </w:r>
      <w:r>
        <w:rPr>
          <w:rFonts w:hint="default" w:ascii="Times New Roman" w:hAnsi="Times New Roman" w:eastAsia="仿宋_GB2312" w:cs="Times New Roman"/>
          <w:color w:val="000000"/>
          <w:spacing w:val="-11"/>
          <w:sz w:val="32"/>
          <w:szCs w:val="32"/>
        </w:rPr>
        <w:t>公顷，含永久基本农田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2</w:t>
      </w:r>
      <w:r>
        <w:rPr>
          <w:rFonts w:hint="eastAsia" w:ascii="Times New Roman" w:hAnsi="Times New Roman" w:eastAsia="仿宋_GB2312" w:cs="Times New Roman"/>
          <w:color w:val="000000"/>
          <w:spacing w:val="1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6198</w:t>
      </w:r>
      <w:r>
        <w:rPr>
          <w:rFonts w:hint="default" w:ascii="Times New Roman" w:hAnsi="Times New Roman" w:eastAsia="仿宋_GB2312" w:cs="Times New Roman"/>
          <w:color w:val="000000"/>
          <w:spacing w:val="-39"/>
          <w:sz w:val="32"/>
          <w:szCs w:val="32"/>
        </w:rPr>
        <w:t>公顷）、</w:t>
      </w:r>
    </w:p>
    <w:p>
      <w:pPr>
        <w:spacing w:before="196" w:after="0" w:line="363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未利用地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0</w:t>
      </w:r>
      <w:r>
        <w:rPr>
          <w:rFonts w:hint="eastAsia" w:ascii="Times New Roman" w:hAnsi="Times New Roman" w:eastAsia="仿宋_GB2312" w:cs="Times New Roman"/>
          <w:color w:val="000000"/>
          <w:spacing w:val="0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965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公顷转为建设用地，同时使用国有建设用地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0</w:t>
      </w:r>
      <w:r>
        <w:rPr>
          <w:rFonts w:hint="eastAsia" w:ascii="Times New Roman" w:hAnsi="Times New Roman" w:eastAsia="仿宋_GB2312" w:cs="Times New Roman"/>
          <w:color w:val="000000"/>
          <w:spacing w:val="0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  <w:t>2388</w:t>
      </w:r>
    </w:p>
    <w:p>
      <w:pPr>
        <w:spacing w:before="208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公顷。</w:t>
      </w:r>
    </w:p>
    <w:p>
      <w:pPr>
        <w:spacing w:before="220" w:after="0" w:line="363" w:lineRule="exact"/>
        <w:ind w:left="641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5"/>
          <w:sz w:val="32"/>
          <w:szCs w:val="32"/>
        </w:rPr>
        <w:t>以上共计批准建设用地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387</w:t>
      </w:r>
      <w:r>
        <w:rPr>
          <w:rFonts w:hint="eastAsia" w:ascii="Times New Roman" w:hAnsi="Times New Roman" w:eastAsia="仿宋_GB2312" w:cs="Times New Roman"/>
          <w:color w:val="000000"/>
          <w:spacing w:val="1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2873</w:t>
      </w:r>
      <w:r>
        <w:rPr>
          <w:rFonts w:hint="default" w:ascii="Times New Roman" w:hAnsi="Times New Roman" w:eastAsia="仿宋_GB2312" w:cs="Times New Roman"/>
          <w:color w:val="000000"/>
          <w:spacing w:val="4"/>
          <w:sz w:val="32"/>
          <w:szCs w:val="32"/>
        </w:rPr>
        <w:t>公顷，由当地人民政府依法</w:t>
      </w:r>
    </w:p>
    <w:p>
      <w:pPr>
        <w:spacing w:before="206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依规提供，作为广州增城至佛山高速公路（增城至天河段）工程</w:t>
      </w:r>
    </w:p>
    <w:p>
      <w:pPr>
        <w:spacing w:before="233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建设用地。当地自然资源主管部门要及时核发划拨供地文件或签</w:t>
      </w:r>
    </w:p>
    <w:p>
      <w:pPr>
        <w:spacing w:before="230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订有偿使用合同，并上传土地市场监测与监管系统。</w:t>
      </w:r>
    </w:p>
    <w:p>
      <w:pPr>
        <w:spacing w:before="230" w:after="0" w:line="329" w:lineRule="exact"/>
        <w:ind w:left="641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二、督促当地人民政府和用地单位切实落实核减的用地（共</w:t>
      </w:r>
    </w:p>
    <w:p>
      <w:pPr>
        <w:spacing w:before="222" w:after="0" w:line="363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8"/>
          <w:sz w:val="32"/>
          <w:szCs w:val="32"/>
        </w:rPr>
        <w:t>计核减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42</w:t>
      </w:r>
      <w:r>
        <w:rPr>
          <w:rFonts w:hint="eastAsia" w:ascii="Times New Roman" w:hAnsi="Times New Roman" w:eastAsia="仿宋_GB2312" w:cs="Times New Roman"/>
          <w:color w:val="000000"/>
          <w:spacing w:val="1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7708</w:t>
      </w:r>
      <w:r>
        <w:rPr>
          <w:rFonts w:hint="default" w:ascii="Times New Roman" w:hAnsi="Times New Roman" w:eastAsia="仿宋_GB2312" w:cs="Times New Roman"/>
          <w:color w:val="000000"/>
          <w:spacing w:val="8"/>
          <w:sz w:val="32"/>
          <w:szCs w:val="32"/>
        </w:rPr>
        <w:t>公顷，其中交叉用地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39</w:t>
      </w:r>
      <w:r>
        <w:rPr>
          <w:rFonts w:hint="eastAsia" w:ascii="Times New Roman" w:hAnsi="Times New Roman" w:eastAsia="仿宋_GB2312" w:cs="Times New Roman"/>
          <w:color w:val="000000"/>
          <w:spacing w:val="1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5708</w:t>
      </w:r>
      <w:r>
        <w:rPr>
          <w:rFonts w:hint="default" w:ascii="Times New Roman" w:hAnsi="Times New Roman" w:eastAsia="仿宋_GB2312" w:cs="Times New Roman"/>
          <w:color w:val="000000"/>
          <w:spacing w:val="7"/>
          <w:sz w:val="32"/>
          <w:szCs w:val="32"/>
        </w:rPr>
        <w:t>公顷、沿线设施用地</w:t>
      </w:r>
    </w:p>
    <w:p>
      <w:pPr>
        <w:spacing w:before="196" w:after="0" w:line="363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FF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3</w:t>
      </w:r>
      <w:r>
        <w:rPr>
          <w:rFonts w:hint="eastAsia" w:ascii="Times New Roman" w:hAnsi="Times New Roman" w:eastAsia="仿宋_GB2312" w:cs="Times New Roman"/>
          <w:color w:val="000000"/>
          <w:spacing w:val="1"/>
          <w:sz w:val="32"/>
          <w:szCs w:val="32"/>
          <w:lang w:val="en-US" w:eastAsia="zh-CN"/>
        </w:rPr>
        <w:t>.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2</w:t>
      </w:r>
      <w:r>
        <w:rPr>
          <w:rFonts w:hint="default" w:ascii="Times New Roman" w:hAnsi="Times New Roman" w:eastAsia="仿宋_GB2312" w:cs="Times New Roman"/>
          <w:color w:val="000000"/>
          <w:spacing w:val="-6"/>
          <w:sz w:val="32"/>
          <w:szCs w:val="32"/>
        </w:rPr>
        <w:t>公顷），进一步完善有关用地方案，节约集约用地。</w:t>
      </w:r>
      <w:r>
        <w:rPr>
          <w:rFonts w:hint="default" w:ascii="Times New Roman" w:hAnsi="Times New Roman" w:eastAsia="仿宋_GB2312" w:cs="Times New Roman"/>
          <w:color w:val="FF0000"/>
          <w:spacing w:val="0"/>
          <w:sz w:val="32"/>
          <w:szCs w:val="32"/>
        </w:rPr>
        <w:br w:type="page"/>
      </w:r>
    </w:p>
    <w:p>
      <w:pPr>
        <w:spacing w:before="0" w:after="0" w:line="329" w:lineRule="exact"/>
        <w:ind w:left="641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三、你省应督促有关县级以上地方人民政府依法落实征地补</w:t>
      </w:r>
    </w:p>
    <w:p>
      <w:pPr>
        <w:spacing w:before="230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偿费用和安置措施，将被征地农民纳入相应的养老等保障体系，</w:t>
      </w:r>
    </w:p>
    <w:p>
      <w:pPr>
        <w:spacing w:before="230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妥善解决好被征地农民的生产生活，保证原有生活水平不降低，</w:t>
      </w:r>
    </w:p>
    <w:p>
      <w:pPr>
        <w:spacing w:before="233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长远生计有保障。征地补偿安置不落实的，不得动工用地。</w:t>
      </w:r>
    </w:p>
    <w:p>
      <w:pPr>
        <w:spacing w:before="230" w:after="0" w:line="329" w:lineRule="exact"/>
        <w:ind w:left="641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四、你省须落实补充耕地和补划永久基本农田。督促补充耕</w:t>
      </w:r>
    </w:p>
    <w:p>
      <w:pPr>
        <w:spacing w:before="230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地责任单位认真按照补充耕地方案，补充数量相等、质量相当的</w:t>
      </w:r>
    </w:p>
    <w:p>
      <w:pPr>
        <w:spacing w:before="233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耕地，落实建设占用耕地耕作层土壤剥离利用。督促有关市县人</w:t>
      </w:r>
    </w:p>
    <w:p>
      <w:pPr>
        <w:spacing w:before="230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民政府落实补划永久基本农田方案，将永久基本农田落实到地块。</w:t>
      </w:r>
    </w:p>
    <w:p>
      <w:pPr>
        <w:spacing w:before="230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督促建设单位依法履行复垦</w:t>
      </w:r>
      <w:r>
        <w:rPr>
          <w:rFonts w:hint="eastAsia" w:ascii="Times New Roman" w:hAnsi="Times New Roman" w:eastAsia="仿宋_GB2312" w:cs="Times New Roman"/>
          <w:color w:val="000000"/>
          <w:spacing w:val="1"/>
          <w:sz w:val="32"/>
          <w:szCs w:val="32"/>
          <w:lang w:eastAsia="zh-CN"/>
        </w:rPr>
        <w:t>义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务。</w:t>
      </w:r>
    </w:p>
    <w:p>
      <w:pPr>
        <w:spacing w:before="233" w:after="0" w:line="329" w:lineRule="exact"/>
        <w:ind w:left="641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五、严格按照国家有关规定缴纳和使用新增建设用地土地有</w:t>
      </w:r>
    </w:p>
    <w:p>
      <w:pPr>
        <w:spacing w:before="230" w:after="0" w:line="329" w:lineRule="exact"/>
        <w:ind w:left="0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  <w:szCs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  <w:szCs w:val="32"/>
        </w:rPr>
        <w:t>偿使用费。</w:t>
      </w:r>
    </w:p>
    <w:p>
      <w:pPr>
        <w:spacing w:before="2472" w:after="0" w:line="329" w:lineRule="exact"/>
        <w:ind w:left="5916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</w:rPr>
      </w:pPr>
      <w:r>
        <w:rPr>
          <w:rFonts w:hint="default" w:ascii="Times New Roman" w:hAnsi="Times New Roman" w:eastAsia="仿宋_GB2312" w:cs="Times New Roman"/>
          <w:color w:val="000000"/>
          <w:spacing w:val="1"/>
          <w:sz w:val="32"/>
        </w:rPr>
        <w:t>自然资源部</w:t>
      </w:r>
    </w:p>
    <w:p>
      <w:pPr>
        <w:spacing w:before="220" w:after="0" w:line="363" w:lineRule="exact"/>
        <w:ind w:left="5676" w:right="0" w:firstLine="0"/>
        <w:jc w:val="left"/>
        <w:rPr>
          <w:rFonts w:hint="default" w:ascii="Times New Roman" w:hAnsi="Times New Roman" w:eastAsia="仿宋_GB2312" w:cs="Times New Roman"/>
          <w:color w:val="000000"/>
          <w:spacing w:val="0"/>
          <w:sz w:val="32"/>
        </w:rPr>
      </w:pPr>
      <w:bookmarkStart w:id="0" w:name="_GoBack"/>
      <w:bookmarkEnd w:id="0"/>
      <w:r>
        <w:rPr>
          <w:rFonts w:hint="default" w:ascii="Times New Roman" w:hAnsi="Times New Roman" w:eastAsia="仿宋_GB2312" w:cs="Times New Roman"/>
          <w:color w:val="000000"/>
          <w:spacing w:val="1"/>
          <w:sz w:val="32"/>
        </w:rPr>
        <w:t>2022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</w:rPr>
        <w:t>年</w:t>
      </w:r>
      <w:r>
        <w:rPr>
          <w:rFonts w:hint="default" w:ascii="Times New Roman" w:hAnsi="Times New Roman" w:eastAsia="仿宋_GB2312" w:cs="Times New Roman"/>
          <w:color w:val="000000"/>
          <w:spacing w:val="1"/>
          <w:sz w:val="32"/>
        </w:rPr>
        <w:t>6</w:t>
      </w:r>
      <w:r>
        <w:rPr>
          <w:rFonts w:hint="default" w:ascii="Times New Roman" w:hAnsi="Times New Roman" w:eastAsia="仿宋_GB2312" w:cs="Times New Roman"/>
          <w:color w:val="000000"/>
          <w:spacing w:val="0"/>
          <w:sz w:val="32"/>
        </w:rPr>
        <w:t>月29日</w:t>
      </w:r>
    </w:p>
    <w:p>
      <w:pPr>
        <w:spacing w:before="768" w:after="0" w:line="329" w:lineRule="exact"/>
        <w:ind w:left="0" w:right="0" w:firstLine="0"/>
        <w:jc w:val="left"/>
        <w:rPr>
          <w:rFonts w:hint="eastAsia" w:ascii="楷体_GB2312" w:hAnsi="楷体_GB2312" w:eastAsia="楷体_GB2312" w:cs="楷体_GB2312"/>
          <w:color w:val="000000"/>
          <w:spacing w:val="0"/>
          <w:sz w:val="32"/>
        </w:rPr>
      </w:pPr>
      <w:r>
        <w:rPr>
          <w:rFonts w:hint="eastAsia" w:ascii="黑体" w:hAnsi="黑体" w:eastAsia="黑体" w:cs="黑体"/>
          <w:color w:val="000000"/>
          <w:spacing w:val="1"/>
          <w:sz w:val="32"/>
        </w:rPr>
        <w:t>公开方式：</w:t>
      </w:r>
      <w:r>
        <w:rPr>
          <w:rFonts w:hint="eastAsia" w:ascii="楷体_GB2312" w:hAnsi="楷体_GB2312" w:eastAsia="楷体_GB2312" w:cs="楷体_GB2312"/>
          <w:color w:val="000000"/>
          <w:spacing w:val="1"/>
          <w:sz w:val="32"/>
        </w:rPr>
        <w:t>主动公开</w:t>
      </w:r>
    </w:p>
    <w:p>
      <w:pPr>
        <w:spacing w:before="230" w:after="0" w:line="329" w:lineRule="exact"/>
        <w:ind w:left="298" w:right="0" w:firstLine="0"/>
        <w:jc w:val="left"/>
        <w:rPr>
          <w:rFonts w:hint="eastAsia" w:ascii="仿宋_GB2312" w:hAnsi="仿宋_GB2312" w:eastAsia="仿宋_GB2312" w:cs="仿宋_GB2312"/>
          <w:color w:val="000000"/>
          <w:spacing w:val="0"/>
          <w:sz w:val="32"/>
        </w:rPr>
      </w:pPr>
      <w:r>
        <w:rPr>
          <w:rFonts w:hint="eastAsia" w:ascii="仿宋_GB2312" w:hAnsi="仿宋_GB2312" w:eastAsia="仿宋_GB2312" w:cs="仿宋_GB2312"/>
          <w:color w:val="000000"/>
          <w:spacing w:val="1"/>
          <w:sz w:val="32"/>
        </w:rPr>
        <w:t>抄送：国务院办公厅、发展改革委、财政部、交通运输部、农</w:t>
      </w:r>
    </w:p>
    <w:p>
      <w:pPr>
        <w:spacing w:before="230" w:after="0" w:line="329" w:lineRule="exact"/>
        <w:ind w:left="1258" w:right="0" w:firstLine="0"/>
        <w:jc w:val="left"/>
        <w:rPr>
          <w:rFonts w:hint="eastAsia" w:ascii="仿宋_GB2312" w:hAnsi="仿宋_GB2312" w:eastAsia="仿宋_GB2312" w:cs="仿宋_GB2312"/>
          <w:color w:val="000000"/>
          <w:spacing w:val="0"/>
          <w:sz w:val="32"/>
        </w:rPr>
      </w:pPr>
      <w:r>
        <w:rPr>
          <w:rFonts w:hint="eastAsia" w:ascii="仿宋_GB2312" w:hAnsi="仿宋_GB2312" w:eastAsia="仿宋_GB2312" w:cs="仿宋_GB2312"/>
          <w:color w:val="000000"/>
          <w:spacing w:val="1"/>
          <w:sz w:val="32"/>
        </w:rPr>
        <w:t>业农村部、人民银行，国资委，林草局，国家自然资源</w:t>
      </w:r>
    </w:p>
    <w:p>
      <w:pPr>
        <w:spacing w:before="233" w:after="0" w:line="329" w:lineRule="exact"/>
        <w:ind w:left="1258" w:right="0" w:firstLine="0"/>
        <w:jc w:val="left"/>
        <w:rPr>
          <w:rFonts w:hint="eastAsia" w:ascii="仿宋_GB2312" w:hAnsi="仿宋_GB2312" w:eastAsia="仿宋_GB2312" w:cs="仿宋_GB2312"/>
          <w:color w:val="000000"/>
          <w:spacing w:val="0"/>
          <w:sz w:val="32"/>
        </w:rPr>
      </w:pPr>
      <w:r>
        <w:rPr>
          <w:rFonts w:hint="eastAsia" w:ascii="仿宋_GB2312" w:hAnsi="仿宋_GB2312" w:eastAsia="仿宋_GB2312" w:cs="仿宋_GB2312"/>
          <w:color w:val="000000"/>
          <w:spacing w:val="1"/>
          <w:sz w:val="32"/>
        </w:rPr>
        <w:t>督察广州局，国家自然资源总督察办公室。</w:t>
      </w:r>
    </w:p>
    <w:p>
      <w:pPr>
        <w:spacing w:before="1036" w:after="0" w:line="310" w:lineRule="exact"/>
        <w:ind w:left="0" w:right="0" w:firstLine="0"/>
        <w:jc w:val="left"/>
        <w:rPr>
          <w:rFonts w:ascii="宋体"/>
          <w:color w:val="000000"/>
          <w:spacing w:val="0"/>
          <w:sz w:val="30"/>
        </w:rPr>
      </w:pPr>
      <w:r>
        <w:rPr>
          <w:rFonts w:ascii="宋体" w:hAnsi="宋体" w:cs="宋体"/>
          <w:color w:val="000000"/>
          <w:spacing w:val="0"/>
          <w:sz w:val="30"/>
        </w:rPr>
        <w:t>—</w:t>
      </w:r>
      <w:r>
        <w:rPr>
          <w:rFonts w:ascii="Times New Roman"/>
          <w:color w:val="000000"/>
          <w:spacing w:val="76"/>
          <w:sz w:val="30"/>
        </w:rPr>
        <w:t xml:space="preserve"> </w:t>
      </w:r>
      <w:r>
        <w:rPr>
          <w:rFonts w:ascii="宋体"/>
          <w:color w:val="000000"/>
          <w:spacing w:val="0"/>
          <w:sz w:val="30"/>
        </w:rPr>
        <w:t>2</w:t>
      </w:r>
      <w:r>
        <w:rPr>
          <w:rFonts w:ascii="Times New Roman"/>
          <w:color w:val="000000"/>
          <w:spacing w:val="75"/>
          <w:sz w:val="30"/>
        </w:rPr>
        <w:t xml:space="preserve"> </w:t>
      </w:r>
      <w:r>
        <w:rPr>
          <w:rFonts w:ascii="宋体" w:hAnsi="宋体" w:cs="宋体"/>
          <w:color w:val="000000"/>
          <w:spacing w:val="0"/>
          <w:sz w:val="30"/>
        </w:rPr>
        <w:t>—</w:t>
      </w:r>
    </w:p>
    <w:sectPr>
      <w:pgSz w:w="11900" w:h="16820"/>
      <w:pgMar w:top="2514" w:right="100" w:bottom="0" w:left="1474" w:header="720" w:footer="720" w:gutter="0"/>
      <w:pgNumType w:start="1"/>
      <w:cols w:space="72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  <w:embedRegular r:id="rId1" w:fontKey="{A46FB4BE-9048-489B-BE30-D8FDA232B729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007E5689-BB99-42AA-9D5C-CDD69D0F471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135D2E5-909A-4716-96CD-417FD368EDA8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244E804F-0CC5-4D1F-888C-C218D849DAD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C4F1CD70-BE2C-4468-A019-0277AF8924AE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4EBA4489-F287-473C-BFA0-6E911476780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7B8C3FF4-3655-4725-BA4F-331CFC11D3DD}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  <w:embedRegular r:id="rId8" w:fontKey="{5863E79E-3991-4285-9E5B-C62038E47B0D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9" w:fontKey="{20D2497F-9DBC-4431-816E-5BA033E94BA3}"/>
  </w:font>
  <w:font w:name="Arial">
    <w:panose1 w:val="020B0604020202020204"/>
    <w:charset w:val="CC"/>
    <w:family w:val="swiss"/>
    <w:pitch w:val="default"/>
    <w:sig w:usb0="E0002AFF" w:usb1="C0007843" w:usb2="00000009" w:usb3="00000000" w:csb0="400001FF" w:csb1="FFFF0000"/>
    <w:embedRegular r:id="rId10" w:fontKey="{7ABC8A94-07F0-4F82-A445-149940923DDF}"/>
  </w:font>
  <w:font w:name="Calibri">
    <w:panose1 w:val="020F0502020204030204"/>
    <w:charset w:val="CC"/>
    <w:family w:val="swiss"/>
    <w:pitch w:val="default"/>
    <w:sig w:usb0="E00002FF" w:usb1="4000ACFF" w:usb2="00000001" w:usb3="00000000" w:csb0="2000019F" w:csb1="00000000"/>
    <w:embedRegular r:id="rId11" w:fontKey="{2393738D-4C45-4597-9AB9-8C747CE99FD2}"/>
  </w:font>
  <w:font w:name="Cambria Math">
    <w:panose1 w:val="02040503050406030204"/>
    <w:charset w:val="CC"/>
    <w:family w:val="roman"/>
    <w:pitch w:val="default"/>
    <w:sig w:usb0="E00002FF" w:usb1="420024FF" w:usb2="00000000" w:usb3="00000000" w:csb0="2000019F" w:csb1="00000000"/>
    <w:embedRegular r:id="rId12" w:fontKey="{3C10A0FE-4C42-4FFB-B131-7DF2D307000A}"/>
  </w:font>
  <w:font w:name="EQNTMS+FZXBSK--GBK1-0">
    <w:altName w:val="Vrinda"/>
    <w:panose1 w:val="02000000000000000000"/>
    <w:charset w:val="01"/>
    <w:family w:val="auto"/>
    <w:pitch w:val="default"/>
    <w:sig w:usb0="00000000" w:usb1="00000000" w:usb2="00000000" w:usb3="00000000" w:csb0="00000000" w:csb1="00000000"/>
    <w:embedRegular r:id="rId13" w:fontKey="{03C1745A-7A4B-4262-BDCE-37B07914A9DA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JBNFOM+TimesNewRomanPSMT">
    <w:panose1 w:val="02020603050405020304"/>
    <w:charset w:val="01"/>
    <w:family w:val="roman"/>
    <w:pitch w:val="default"/>
    <w:sig w:usb0="00000000" w:usb1="00000000" w:usb2="00000000" w:usb3="00000000" w:csb0="00000000" w:csb1="00000000"/>
    <w:embedRegular r:id="rId14" w:fontKey="{A9994EB9-CEE5-46BE-9D71-31D60105070C}"/>
  </w:font>
  <w:font w:name="FangSong_GB2312">
    <w:altName w:val="仿宋_GB2312"/>
    <w:panose1 w:val="00000000000000000000"/>
    <w:charset w:val="01"/>
    <w:family w:val="auto"/>
    <w:pitch w:val="default"/>
    <w:sig w:usb0="00000000" w:usb1="00000000" w:usb2="01010101" w:usb3="01010101" w:csb0="01010101" w:csb1="01010101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5" w:fontKey="{8EC45FD1-42B0-4081-A33C-0531D70515A8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6" w:fontKey="{B8ECC1EB-C300-4A83-B1E9-6175AA4FF3D0}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  <w:embedRegular r:id="rId17" w:fontKey="{541A929C-6FBB-4100-AE99-5A8F4BAB4F06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</w:font>
  <w:font w:name="叶根友毛笔行书2.0版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Vrinda">
    <w:panose1 w:val="020B0502040204020203"/>
    <w:charset w:val="00"/>
    <w:family w:val="auto"/>
    <w:pitch w:val="default"/>
    <w:sig w:usb0="00010003" w:usb1="00000000" w:usb2="00000000" w:usb3="00000000" w:csb0="00000001" w:csb1="00000000"/>
    <w:embedRegular r:id="rId18" w:fontKey="{9C350CCF-FFA2-43F9-B747-58CC0DC7085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documentProtection w:enforcement="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  <w:rsid w:val="560604A1"/>
    <w:rsid w:val="79634C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unhideWhenUsed="0" w:uiPriority="4294967295" w:semiHidden="0" w:name="Normal Table"/>
    <w:lsdException w:unhideWhenUsed="0" w:uiPriority="4294967295" w:semiHidden="0" w:name="annotation subject"/>
    <w:lsdException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"/>
    <w:uiPriority w:val="0"/>
    <w:pPr>
      <w:spacing w:before="120" w:after="240"/>
      <w:jc w:val="both"/>
    </w:pPr>
    <w:rPr>
      <w:rFonts w:asciiTheme="minorHAnsi" w:hAnsiTheme="minorHAnsi" w:eastAsiaTheme="minorEastAsia" w:cstheme="minorBidi"/>
      <w:sz w:val="22"/>
      <w:szCs w:val="22"/>
      <w:lang w:val="ru-RU" w:eastAsia="en-US" w:bidi="ar-SA"/>
    </w:rPr>
  </w:style>
  <w:style w:type="character" w:default="1" w:styleId="2">
    <w:name w:val="Default Paragraph Font"/>
    <w:link w:val="1"/>
    <w:semiHidden/>
    <w:uiPriority w:val="0"/>
  </w:style>
  <w:style w:type="table" w:default="1" w:styleId="3">
    <w:name w:val="Normal Table"/>
    <w:uiPriority w:val="4294967295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4">
    <w:name w:val="No List"/>
    <w:semiHidden/>
    <w:uiPriority w:val="0"/>
    <w:rPr>
      <w:rFonts w:asciiTheme="minorHAnsi" w:hAnsiTheme="minorHAnsi" w:eastAsiaTheme="minorEastAsia" w:cstheme="minorBidi"/>
      <w:sz w:val="21"/>
      <w:szCs w:val="22"/>
    </w:rPr>
  </w:style>
  <w:style w:type="table" w:customStyle="1" w:styleId="5">
    <w:name w:val="Table Normal"/>
    <w:semiHidden/>
    <w:uiPriority w:val="0"/>
    <w:tblPr>
      <w:tblLayout w:type="fixed"/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8" Type="http://schemas.openxmlformats.org/officeDocument/2006/relationships/font" Target="fonts/font18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2</Pages>
  <Words>91</Words>
  <Characters>893</Characters>
  <Lines>1</Lines>
  <Paragraphs>39</Paragraphs>
  <ScaleCrop>false</ScaleCrop>
  <LinksUpToDate>false</LinksUpToDate>
  <CharactersWithSpaces>908</CharactersWithSpaces>
  <Application>WPS Office_10.8.0.6253_F1E327BC-269C-435d-A152-05C5408002CA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2022-09-09T17:39:00Z</dcterms:created>
  <dc:creator>Administrator</dc:creator>
  <cp:lastModifiedBy>郭银花</cp:lastModifiedBy>
  <dcterms:modified xsi:type="dcterms:W3CDTF">2022-09-13T02:06:39Z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2052-10.8.0.6253</vt:lpwstr>
  </property>
</Properties>
</file>