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附件1</w:t>
      </w:r>
    </w:p>
    <w:p>
      <w:pPr>
        <w:jc w:val="center"/>
        <w:rPr>
          <w:rFonts w:ascii="方正小标宋简体" w:eastAsia="方正小标宋简体"/>
          <w:sz w:val="44"/>
          <w:szCs w:val="44"/>
        </w:rPr>
      </w:pPr>
      <w:r>
        <w:rPr>
          <w:rFonts w:hint="eastAsia" w:ascii="方正小标宋简体" w:eastAsia="方正小标宋简体"/>
          <w:sz w:val="44"/>
          <w:szCs w:val="44"/>
        </w:rPr>
        <w:t>广州市规划和自然资源局实行告知承诺制证明事项清单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595"/>
        <w:gridCol w:w="4961"/>
        <w:gridCol w:w="1559"/>
        <w:gridCol w:w="156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jc w:val="center"/>
              <w:rPr>
                <w:rFonts w:ascii="黑体" w:hAnsi="黑体" w:eastAsia="黑体"/>
                <w:sz w:val="32"/>
                <w:szCs w:val="32"/>
              </w:rPr>
            </w:pPr>
            <w:r>
              <w:rPr>
                <w:rFonts w:hint="eastAsia" w:ascii="黑体" w:hAnsi="黑体" w:eastAsia="黑体"/>
                <w:sz w:val="32"/>
                <w:szCs w:val="32"/>
              </w:rPr>
              <w:t>序号</w:t>
            </w:r>
          </w:p>
        </w:tc>
        <w:tc>
          <w:tcPr>
            <w:tcW w:w="1595" w:type="dxa"/>
            <w:vMerge w:val="restart"/>
            <w:vAlign w:val="center"/>
          </w:tcPr>
          <w:p>
            <w:pPr>
              <w:jc w:val="center"/>
              <w:rPr>
                <w:rFonts w:ascii="黑体" w:hAnsi="黑体" w:eastAsia="黑体"/>
                <w:sz w:val="32"/>
                <w:szCs w:val="32"/>
              </w:rPr>
            </w:pPr>
            <w:r>
              <w:rPr>
                <w:rFonts w:hint="eastAsia" w:ascii="黑体" w:hAnsi="黑体" w:eastAsia="黑体"/>
                <w:sz w:val="32"/>
                <w:szCs w:val="32"/>
              </w:rPr>
              <w:t>证明名称</w:t>
            </w:r>
          </w:p>
        </w:tc>
        <w:tc>
          <w:tcPr>
            <w:tcW w:w="6520" w:type="dxa"/>
            <w:gridSpan w:val="2"/>
            <w:vAlign w:val="center"/>
          </w:tcPr>
          <w:p>
            <w:pPr>
              <w:jc w:val="center"/>
              <w:rPr>
                <w:rFonts w:ascii="黑体" w:hAnsi="黑体" w:eastAsia="黑体"/>
                <w:sz w:val="32"/>
                <w:szCs w:val="32"/>
              </w:rPr>
            </w:pPr>
            <w:r>
              <w:rPr>
                <w:rFonts w:hint="eastAsia" w:ascii="黑体" w:hAnsi="黑体" w:eastAsia="黑体"/>
                <w:sz w:val="32"/>
                <w:szCs w:val="32"/>
              </w:rPr>
              <w:t>证明事项设定依据</w:t>
            </w:r>
          </w:p>
        </w:tc>
        <w:tc>
          <w:tcPr>
            <w:tcW w:w="1560" w:type="dxa"/>
            <w:vMerge w:val="restart"/>
            <w:vAlign w:val="center"/>
          </w:tcPr>
          <w:p>
            <w:pPr>
              <w:jc w:val="center"/>
              <w:rPr>
                <w:rFonts w:ascii="黑体" w:hAnsi="黑体" w:eastAsia="黑体"/>
                <w:sz w:val="32"/>
                <w:szCs w:val="32"/>
              </w:rPr>
            </w:pPr>
            <w:r>
              <w:rPr>
                <w:rFonts w:hint="eastAsia" w:ascii="黑体" w:hAnsi="黑体" w:eastAsia="黑体"/>
                <w:sz w:val="32"/>
                <w:szCs w:val="32"/>
              </w:rPr>
              <w:t>办事单位</w:t>
            </w:r>
          </w:p>
        </w:tc>
        <w:tc>
          <w:tcPr>
            <w:tcW w:w="1701" w:type="dxa"/>
            <w:vMerge w:val="restart"/>
            <w:vAlign w:val="center"/>
          </w:tcPr>
          <w:p>
            <w:pPr>
              <w:jc w:val="center"/>
              <w:rPr>
                <w:rFonts w:ascii="黑体" w:hAnsi="黑体" w:eastAsia="黑体"/>
                <w:sz w:val="32"/>
                <w:szCs w:val="32"/>
              </w:rPr>
            </w:pPr>
            <w:r>
              <w:rPr>
                <w:rFonts w:hint="eastAsia" w:ascii="黑体" w:hAnsi="黑体" w:eastAsia="黑体"/>
                <w:sz w:val="32"/>
                <w:szCs w:val="32"/>
              </w:rPr>
              <w:t>证明用途</w:t>
            </w:r>
          </w:p>
        </w:tc>
        <w:tc>
          <w:tcPr>
            <w:tcW w:w="1559" w:type="dxa"/>
            <w:vMerge w:val="restart"/>
            <w:vAlign w:val="center"/>
          </w:tcPr>
          <w:p>
            <w:pPr>
              <w:jc w:val="center"/>
              <w:rPr>
                <w:rFonts w:ascii="黑体" w:hAnsi="黑体" w:eastAsia="黑体"/>
                <w:sz w:val="32"/>
                <w:szCs w:val="32"/>
              </w:rPr>
            </w:pPr>
            <w:r>
              <w:rPr>
                <w:rFonts w:hint="eastAsia" w:ascii="黑体" w:hAnsi="黑体" w:eastAsia="黑体"/>
                <w:sz w:val="32"/>
                <w:szCs w:val="32"/>
              </w:rPr>
              <w:t>实行时间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rPr>
                <w:rFonts w:ascii="仿宋_GB2312" w:eastAsia="仿宋_GB2312"/>
                <w:sz w:val="32"/>
                <w:szCs w:val="32"/>
              </w:rPr>
            </w:pPr>
          </w:p>
        </w:tc>
        <w:tc>
          <w:tcPr>
            <w:tcW w:w="1595" w:type="dxa"/>
            <w:vMerge w:val="continue"/>
            <w:vAlign w:val="center"/>
          </w:tcPr>
          <w:p>
            <w:pPr>
              <w:rPr>
                <w:rFonts w:ascii="仿宋_GB2312" w:eastAsia="仿宋_GB2312"/>
                <w:sz w:val="32"/>
                <w:szCs w:val="32"/>
              </w:rPr>
            </w:pPr>
          </w:p>
        </w:tc>
        <w:tc>
          <w:tcPr>
            <w:tcW w:w="4961" w:type="dxa"/>
            <w:vAlign w:val="center"/>
          </w:tcPr>
          <w:p>
            <w:pPr>
              <w:jc w:val="center"/>
              <w:rPr>
                <w:rFonts w:ascii="黑体" w:hAnsi="黑体" w:eastAsia="黑体"/>
                <w:sz w:val="30"/>
                <w:szCs w:val="30"/>
              </w:rPr>
            </w:pPr>
            <w:r>
              <w:rPr>
                <w:rFonts w:hint="eastAsia" w:ascii="黑体" w:hAnsi="黑体" w:eastAsia="黑体"/>
                <w:sz w:val="30"/>
                <w:szCs w:val="30"/>
              </w:rPr>
              <w:t>依据名称、文号及条文内容</w:t>
            </w:r>
          </w:p>
        </w:tc>
        <w:tc>
          <w:tcPr>
            <w:tcW w:w="1559" w:type="dxa"/>
            <w:vAlign w:val="center"/>
          </w:tcPr>
          <w:p>
            <w:pPr>
              <w:rPr>
                <w:rFonts w:ascii="黑体" w:hAnsi="黑体" w:eastAsia="黑体"/>
                <w:sz w:val="30"/>
                <w:szCs w:val="30"/>
              </w:rPr>
            </w:pPr>
            <w:r>
              <w:rPr>
                <w:rFonts w:hint="eastAsia" w:ascii="黑体" w:hAnsi="黑体" w:eastAsia="黑体"/>
                <w:sz w:val="30"/>
                <w:szCs w:val="30"/>
              </w:rPr>
              <w:t>效力层级</w:t>
            </w:r>
          </w:p>
        </w:tc>
        <w:tc>
          <w:tcPr>
            <w:tcW w:w="1560" w:type="dxa"/>
            <w:vMerge w:val="continue"/>
            <w:vAlign w:val="center"/>
          </w:tcPr>
          <w:p>
            <w:pPr>
              <w:rPr>
                <w:rFonts w:ascii="仿宋_GB2312" w:eastAsia="仿宋_GB2312"/>
                <w:sz w:val="32"/>
                <w:szCs w:val="32"/>
              </w:rPr>
            </w:pPr>
          </w:p>
        </w:tc>
        <w:tc>
          <w:tcPr>
            <w:tcW w:w="1701" w:type="dxa"/>
            <w:vMerge w:val="continue"/>
            <w:vAlign w:val="center"/>
          </w:tcPr>
          <w:p>
            <w:pPr>
              <w:rPr>
                <w:rFonts w:ascii="仿宋_GB2312" w:eastAsia="仿宋_GB2312"/>
                <w:sz w:val="32"/>
                <w:szCs w:val="32"/>
              </w:rPr>
            </w:pPr>
          </w:p>
        </w:tc>
        <w:tc>
          <w:tcPr>
            <w:tcW w:w="1559" w:type="dxa"/>
            <w:vMerge w:val="continue"/>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065"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595" w:type="dxa"/>
            <w:vAlign w:val="center"/>
          </w:tcPr>
          <w:p>
            <w:pPr>
              <w:spacing w:line="500" w:lineRule="exact"/>
              <w:rPr>
                <w:rFonts w:ascii="仿宋_GB2312" w:eastAsia="仿宋_GB2312"/>
                <w:sz w:val="28"/>
                <w:szCs w:val="28"/>
              </w:rPr>
            </w:pPr>
            <w:r>
              <w:rPr>
                <w:rFonts w:hint="eastAsia" w:ascii="仿宋_GB2312" w:eastAsia="仿宋_GB2312"/>
                <w:sz w:val="28"/>
                <w:szCs w:val="28"/>
              </w:rPr>
              <w:t>被继承人父母的死亡证明</w:t>
            </w:r>
          </w:p>
        </w:tc>
        <w:tc>
          <w:tcPr>
            <w:tcW w:w="4961" w:type="dxa"/>
            <w:vMerge w:val="restart"/>
            <w:vAlign w:val="center"/>
          </w:tcPr>
          <w:p>
            <w:pPr>
              <w:spacing w:line="500" w:lineRule="exact"/>
              <w:rPr>
                <w:rFonts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bCs/>
                <w:color w:val="000000"/>
                <w:sz w:val="28"/>
                <w:szCs w:val="28"/>
              </w:rPr>
              <w:t>不动产登记暂行条例实施细则</w:t>
            </w:r>
            <w:r>
              <w:rPr>
                <w:rFonts w:hint="eastAsia" w:ascii="仿宋_GB2312" w:eastAsia="仿宋_GB2312"/>
                <w:color w:val="000000"/>
                <w:sz w:val="28"/>
                <w:szCs w:val="28"/>
              </w:rPr>
              <w:t>》第十四条 因继承、受遗赠取得不动产，当事人申请登记的，应当提交死亡证明材料、遗嘱或者全部法定继承人关于不动产分配的协议以及与被继承人的亲属关系材料等，也可以提交经公证的材料或者生效的法律文书。</w:t>
            </w:r>
          </w:p>
          <w:p>
            <w:pPr>
              <w:pStyle w:val="16"/>
              <w:numPr>
                <w:ilvl w:val="0"/>
                <w:numId w:val="0"/>
              </w:numPr>
              <w:spacing w:before="156" w:after="156" w:line="500" w:lineRule="exact"/>
              <w:jc w:val="both"/>
              <w:rPr>
                <w:rFonts w:ascii="仿宋_GB2312" w:eastAsia="仿宋_GB2312"/>
                <w:sz w:val="28"/>
                <w:szCs w:val="28"/>
              </w:rPr>
            </w:pPr>
            <w:r>
              <w:rPr>
                <w:rFonts w:hint="eastAsia" w:ascii="仿宋_GB2312" w:eastAsia="仿宋_GB2312"/>
                <w:sz w:val="28"/>
                <w:szCs w:val="28"/>
              </w:rPr>
              <w:t>《不动产登记操作规范（试行）》1.8.6.1.申请人提交的申请材料包括：……</w:t>
            </w:r>
          </w:p>
          <w:p>
            <w:pPr>
              <w:pStyle w:val="16"/>
              <w:numPr>
                <w:ilvl w:val="0"/>
                <w:numId w:val="0"/>
              </w:numPr>
              <w:spacing w:before="156" w:after="156" w:line="500" w:lineRule="exact"/>
              <w:jc w:val="both"/>
              <w:rPr>
                <w:rFonts w:ascii="仿宋_GB2312" w:hAnsi="宋体" w:eastAsia="仿宋_GB2312"/>
                <w:sz w:val="28"/>
                <w:szCs w:val="28"/>
              </w:rPr>
            </w:pPr>
            <w:r>
              <w:rPr>
                <w:rFonts w:hint="eastAsia" w:ascii="仿宋_GB2312" w:hAnsi="宋体" w:eastAsia="仿宋_GB2312"/>
                <w:sz w:val="28"/>
                <w:szCs w:val="28"/>
              </w:rPr>
              <w:t>2  被继承人或遗赠人的死亡证明，包括医疗机构出具的死亡证明；公安机关出具的死亡证明或者注明了死亡日期的注销户口证明；人民法院宣告死亡的判决书；其他能够证明被继承人或受遗赠人死亡的材料等；</w:t>
            </w:r>
          </w:p>
          <w:p>
            <w:pPr>
              <w:spacing w:line="500" w:lineRule="exact"/>
              <w:rPr>
                <w:rFonts w:ascii="仿宋_GB2312" w:eastAsia="仿宋_GB2312"/>
                <w:sz w:val="28"/>
                <w:szCs w:val="28"/>
              </w:rPr>
            </w:pPr>
            <w:r>
              <w:rPr>
                <w:rFonts w:hint="eastAsia" w:ascii="仿宋_GB2312" w:eastAsia="仿宋_GB2312"/>
                <w:sz w:val="28"/>
                <w:szCs w:val="28"/>
              </w:rPr>
              <w:t>3  所有继承人或受遗赠人与被继承人或遗赠人之间的亲属关系证明 ，包括户口簿、婚姻证明、收养证明、出生医学证明，公安机关以及村委会、居委会、被继承人或继承人单位出具的证明材料，其他能够证明相关亲属关系的材料等；……</w:t>
            </w:r>
          </w:p>
          <w:p>
            <w:pPr>
              <w:pStyle w:val="12"/>
              <w:spacing w:line="500" w:lineRule="exact"/>
              <w:ind w:firstLine="0" w:firstLineChars="0"/>
              <w:rPr>
                <w:rFonts w:ascii="仿宋_GB2312" w:eastAsia="仿宋_GB2312"/>
                <w:sz w:val="28"/>
                <w:szCs w:val="28"/>
              </w:rPr>
            </w:pPr>
            <w:r>
              <w:rPr>
                <w:rFonts w:hint="eastAsia" w:ascii="仿宋_GB2312" w:eastAsia="仿宋_GB2312"/>
                <w:sz w:val="28"/>
                <w:szCs w:val="28"/>
              </w:rPr>
              <w:t>5  继承人已死亡的，代位继承人或转继承人可参照上述材料提供；……</w:t>
            </w:r>
          </w:p>
        </w:tc>
        <w:tc>
          <w:tcPr>
            <w:tcW w:w="1559" w:type="dxa"/>
            <w:vMerge w:val="restart"/>
            <w:vAlign w:val="center"/>
          </w:tcPr>
          <w:p>
            <w:pPr>
              <w:spacing w:line="500" w:lineRule="exact"/>
              <w:rPr>
                <w:rFonts w:ascii="仿宋_GB2312" w:eastAsia="仿宋_GB2312"/>
                <w:sz w:val="28"/>
                <w:szCs w:val="28"/>
              </w:rPr>
            </w:pPr>
            <w:r>
              <w:rPr>
                <w:rFonts w:hint="eastAsia" w:ascii="仿宋_GB2312" w:eastAsia="仿宋_GB2312"/>
                <w:sz w:val="28"/>
                <w:szCs w:val="28"/>
              </w:rPr>
              <w:t>部门规章</w:t>
            </w:r>
          </w:p>
          <w:p>
            <w:pPr>
              <w:spacing w:line="400" w:lineRule="exact"/>
              <w:rPr>
                <w:rFonts w:ascii="仿宋_GB2312" w:eastAsia="仿宋_GB2312"/>
                <w:szCs w:val="21"/>
              </w:rPr>
            </w:pPr>
          </w:p>
        </w:tc>
        <w:tc>
          <w:tcPr>
            <w:tcW w:w="1560" w:type="dxa"/>
            <w:vMerge w:val="restart"/>
            <w:vAlign w:val="center"/>
          </w:tcPr>
          <w:p>
            <w:pPr>
              <w:spacing w:line="500" w:lineRule="exact"/>
              <w:rPr>
                <w:rFonts w:ascii="仿宋_GB2312" w:eastAsia="仿宋_GB2312"/>
                <w:sz w:val="28"/>
                <w:szCs w:val="28"/>
              </w:rPr>
            </w:pPr>
            <w:r>
              <w:rPr>
                <w:rFonts w:hint="eastAsia" w:ascii="仿宋_GB2312" w:eastAsia="仿宋_GB2312"/>
                <w:sz w:val="28"/>
                <w:szCs w:val="28"/>
              </w:rPr>
              <w:t>广州市规划和自然资源局</w:t>
            </w:r>
          </w:p>
        </w:tc>
        <w:tc>
          <w:tcPr>
            <w:tcW w:w="1701" w:type="dxa"/>
            <w:vMerge w:val="restart"/>
            <w:vAlign w:val="center"/>
          </w:tcPr>
          <w:p>
            <w:pPr>
              <w:spacing w:line="500" w:lineRule="exact"/>
              <w:rPr>
                <w:rFonts w:ascii="仿宋_GB2312" w:eastAsia="仿宋_GB2312"/>
                <w:sz w:val="28"/>
                <w:szCs w:val="28"/>
              </w:rPr>
            </w:pPr>
            <w:r>
              <w:rPr>
                <w:rFonts w:hint="eastAsia" w:ascii="仿宋_GB2312" w:eastAsia="仿宋_GB2312"/>
                <w:sz w:val="28"/>
                <w:szCs w:val="28"/>
              </w:rPr>
              <w:t>申请办理不动产继承登记</w:t>
            </w:r>
          </w:p>
        </w:tc>
        <w:tc>
          <w:tcPr>
            <w:tcW w:w="1559" w:type="dxa"/>
            <w:vMerge w:val="restart"/>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2024年</w:t>
            </w:r>
            <w:bookmarkStart w:id="0" w:name="_GoBack"/>
            <w:bookmarkEnd w:id="0"/>
            <w:r>
              <w:rPr>
                <w:rFonts w:hint="eastAsia" w:ascii="仿宋_GB2312" w:eastAsia="仿宋_GB2312"/>
                <w:sz w:val="28"/>
                <w:szCs w:val="28"/>
                <w:lang w:val="en-US" w:eastAsia="zh-CN"/>
              </w:rPr>
              <w:t>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595" w:type="dxa"/>
            <w:vAlign w:val="center"/>
          </w:tcPr>
          <w:p>
            <w:pPr>
              <w:spacing w:line="500" w:lineRule="exact"/>
              <w:rPr>
                <w:rFonts w:ascii="仿宋_GB2312" w:eastAsia="仿宋_GB2312"/>
                <w:sz w:val="28"/>
                <w:szCs w:val="28"/>
              </w:rPr>
            </w:pPr>
            <w:r>
              <w:rPr>
                <w:rFonts w:hint="eastAsia" w:ascii="仿宋_GB2312" w:eastAsia="仿宋_GB2312"/>
                <w:sz w:val="28"/>
                <w:szCs w:val="28"/>
              </w:rPr>
              <w:t>亲属关系证明</w:t>
            </w:r>
          </w:p>
        </w:tc>
        <w:tc>
          <w:tcPr>
            <w:tcW w:w="496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c>
          <w:tcPr>
            <w:tcW w:w="1560" w:type="dxa"/>
            <w:vMerge w:val="continue"/>
            <w:vAlign w:val="center"/>
          </w:tcPr>
          <w:p>
            <w:pPr>
              <w:rPr>
                <w:rFonts w:ascii="仿宋_GB2312" w:eastAsia="仿宋_GB2312"/>
                <w:sz w:val="28"/>
                <w:szCs w:val="28"/>
              </w:rPr>
            </w:pPr>
          </w:p>
        </w:tc>
        <w:tc>
          <w:tcPr>
            <w:tcW w:w="1701" w:type="dxa"/>
            <w:vMerge w:val="continue"/>
            <w:vAlign w:val="center"/>
          </w:tcPr>
          <w:p>
            <w:pPr>
              <w:rPr>
                <w:rFonts w:ascii="仿宋_GB2312" w:eastAsia="仿宋_GB2312"/>
                <w:sz w:val="28"/>
                <w:szCs w:val="28"/>
              </w:rPr>
            </w:pPr>
          </w:p>
        </w:tc>
        <w:tc>
          <w:tcPr>
            <w:tcW w:w="1559" w:type="dxa"/>
            <w:vMerge w:val="continue"/>
            <w:vAlign w:val="center"/>
          </w:tcPr>
          <w:p>
            <w:pPr>
              <w:rPr>
                <w:rFonts w:ascii="仿宋_GB2312" w:eastAsia="仿宋_GB2312"/>
                <w:sz w:val="28"/>
                <w:szCs w:val="28"/>
              </w:rPr>
            </w:pPr>
          </w:p>
        </w:tc>
      </w:tr>
    </w:tbl>
    <w:p>
      <w:pPr>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3"/>
      <w:suff w:val="nothing"/>
      <w:lvlText w:val="%1.%2.%3　"/>
      <w:lvlJc w:val="left"/>
      <w:pPr>
        <w:ind w:left="315" w:firstLine="0"/>
      </w:pPr>
      <w:rPr>
        <w:rFonts w:hint="eastAsia" w:ascii="黑体" w:hAnsi="Times New Roman" w:eastAsia="黑体"/>
        <w:b w:val="0"/>
        <w:i w:val="0"/>
        <w:sz w:val="21"/>
      </w:rPr>
    </w:lvl>
    <w:lvl w:ilvl="3" w:tentative="0">
      <w:start w:val="1"/>
      <w:numFmt w:val="decimal"/>
      <w:pStyle w:val="14"/>
      <w:suff w:val="nothing"/>
      <w:lvlText w:val="%1.%2.%3.%4　"/>
      <w:lvlJc w:val="left"/>
      <w:pPr>
        <w:ind w:left="945"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5F"/>
    <w:rsid w:val="000854BC"/>
    <w:rsid w:val="00085977"/>
    <w:rsid w:val="00095E5D"/>
    <w:rsid w:val="0014166F"/>
    <w:rsid w:val="00185C03"/>
    <w:rsid w:val="001C7324"/>
    <w:rsid w:val="001D7687"/>
    <w:rsid w:val="00346E47"/>
    <w:rsid w:val="00371DAD"/>
    <w:rsid w:val="00392453"/>
    <w:rsid w:val="00454AEB"/>
    <w:rsid w:val="00497BFC"/>
    <w:rsid w:val="006115F0"/>
    <w:rsid w:val="00685515"/>
    <w:rsid w:val="00794CAE"/>
    <w:rsid w:val="007B54B5"/>
    <w:rsid w:val="007D4D5F"/>
    <w:rsid w:val="008B31D8"/>
    <w:rsid w:val="009826A4"/>
    <w:rsid w:val="009C3A74"/>
    <w:rsid w:val="00AF0815"/>
    <w:rsid w:val="00B73FDF"/>
    <w:rsid w:val="00B77994"/>
    <w:rsid w:val="00BD1FD7"/>
    <w:rsid w:val="00C25837"/>
    <w:rsid w:val="00C67087"/>
    <w:rsid w:val="00E20DD5"/>
    <w:rsid w:val="00F30658"/>
    <w:rsid w:val="00F5311C"/>
    <w:rsid w:val="00F54F69"/>
    <w:rsid w:val="00F57228"/>
    <w:rsid w:val="40C821C4"/>
    <w:rsid w:val="548B7FB9"/>
    <w:rsid w:val="613D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semiHidden/>
    <w:unhideWhenUsed/>
    <w:qFormat/>
    <w:uiPriority w:val="0"/>
    <w:pPr>
      <w:keepNext/>
      <w:keepLines/>
      <w:spacing w:before="260" w:after="260" w:line="416" w:lineRule="auto"/>
      <w:outlineLvl w:val="2"/>
    </w:pPr>
    <w:rPr>
      <w:rFonts w:eastAsia="宋体"/>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3 Char"/>
    <w:link w:val="2"/>
    <w:qFormat/>
    <w:uiPriority w:val="0"/>
    <w:rPr>
      <w:rFonts w:eastAsia="宋体"/>
      <w:b/>
      <w:bCs/>
      <w:kern w:val="2"/>
      <w:sz w:val="32"/>
      <w:szCs w:val="32"/>
      <w:lang w:val="en-US" w:eastAsia="zh-CN" w:bidi="ar-SA"/>
    </w:rPr>
  </w:style>
  <w:style w:type="character" w:customStyle="1" w:styleId="11">
    <w:name w:val="段 Char"/>
    <w:basedOn w:val="7"/>
    <w:link w:val="12"/>
    <w:qFormat/>
    <w:uiPriority w:val="0"/>
    <w:rPr>
      <w:rFonts w:ascii="宋体" w:eastAsia="宋体"/>
      <w:sz w:val="21"/>
      <w:lang w:val="en-US" w:eastAsia="zh-CN" w:bidi="ar-SA"/>
    </w:rPr>
  </w:style>
  <w:style w:type="paragraph" w:customStyle="1" w:styleId="12">
    <w:name w:val="段"/>
    <w:link w:val="11"/>
    <w:qFormat/>
    <w:uiPriority w:val="0"/>
    <w:pPr>
      <w:tabs>
        <w:tab w:val="center" w:pos="4201"/>
        <w:tab w:val="right" w:leader="dot" w:pos="9298"/>
      </w:tabs>
      <w:autoSpaceDE w:val="0"/>
      <w:autoSpaceDN w:val="0"/>
      <w:ind w:firstLine="420" w:firstLineChars="200"/>
      <w:jc w:val="both"/>
    </w:pPr>
    <w:rPr>
      <w:rFonts w:ascii="宋体" w:eastAsia="宋体" w:hAnsiTheme="minorHAnsi" w:cstheme="minorBidi"/>
      <w:kern w:val="2"/>
      <w:sz w:val="21"/>
      <w:szCs w:val="22"/>
      <w:lang w:val="en-US" w:eastAsia="zh-CN" w:bidi="ar-SA"/>
    </w:rPr>
  </w:style>
  <w:style w:type="paragraph" w:customStyle="1" w:styleId="13">
    <w:name w:val="一级条标题"/>
    <w:next w:val="1"/>
    <w:qFormat/>
    <w:uiPriority w:val="0"/>
    <w:pPr>
      <w:numPr>
        <w:ilvl w:val="2"/>
        <w:numId w:val="1"/>
      </w:numPr>
      <w:spacing w:before="156" w:beforeLines="50" w:after="156" w:afterLines="50"/>
      <w:ind w:left="0"/>
      <w:outlineLvl w:val="2"/>
    </w:pPr>
    <w:rPr>
      <w:rFonts w:ascii="黑体" w:hAnsi="Times New Roman" w:eastAsia="黑体" w:cs="Times New Roman"/>
      <w:kern w:val="0"/>
      <w:sz w:val="21"/>
      <w:szCs w:val="21"/>
      <w:lang w:val="en-US" w:eastAsia="zh-CN" w:bidi="ar-SA"/>
    </w:rPr>
  </w:style>
  <w:style w:type="paragraph" w:customStyle="1" w:styleId="14">
    <w:name w:val="封面标准号2"/>
    <w:qFormat/>
    <w:uiPriority w:val="0"/>
    <w:pPr>
      <w:framePr w:w="9140" w:h="1242" w:hRule="exact" w:hSpace="284" w:wrap="around" w:vAnchor="page" w:hAnchor="page" w:x="1645" w:y="2910" w:anchorLock="1"/>
      <w:numPr>
        <w:ilvl w:val="3"/>
        <w:numId w:val="1"/>
      </w:numPr>
      <w:spacing w:before="357" w:line="280" w:lineRule="exact"/>
      <w:ind w:left="0"/>
      <w:jc w:val="right"/>
    </w:pPr>
    <w:rPr>
      <w:rFonts w:ascii="黑体" w:hAnsi="Times New Roman" w:eastAsia="黑体" w:cs="Times New Roman"/>
      <w:kern w:val="0"/>
      <w:sz w:val="28"/>
      <w:szCs w:val="28"/>
      <w:lang w:val="en-US" w:eastAsia="zh-CN" w:bidi="ar-SA"/>
    </w:rPr>
  </w:style>
  <w:style w:type="paragraph" w:customStyle="1" w:styleId="15">
    <w:name w:val="目次、标准名称标题"/>
    <w:basedOn w:val="1"/>
    <w:next w:val="1"/>
    <w:qFormat/>
    <w:uiPriority w:val="0"/>
    <w:pPr>
      <w:keepNext/>
      <w:pageBreakBefore/>
      <w:widowControl/>
      <w:numPr>
        <w:ilvl w:val="4"/>
        <w:numId w:val="1"/>
      </w:numPr>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6">
    <w:name w:val="三级条标题"/>
    <w:basedOn w:val="1"/>
    <w:next w:val="1"/>
    <w:qFormat/>
    <w:uiPriority w:val="0"/>
    <w:pPr>
      <w:widowControl/>
      <w:numPr>
        <w:ilvl w:val="5"/>
        <w:numId w:val="1"/>
      </w:numPr>
      <w:spacing w:before="50" w:beforeLines="50" w:after="50" w:afterLines="50"/>
      <w:ind w:left="945"/>
      <w:jc w:val="left"/>
      <w:outlineLvl w:val="4"/>
    </w:pPr>
    <w:rPr>
      <w:rFonts w:ascii="黑体" w:hAnsi="Times New Roman" w:eastAsia="黑体" w:cs="Times New Roman"/>
      <w:kern w:val="0"/>
      <w:szCs w:val="21"/>
    </w:rPr>
  </w:style>
  <w:style w:type="character" w:customStyle="1" w:styleId="17">
    <w:name w:val="标题 3 Char1"/>
    <w:basedOn w:val="7"/>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Words>
  <Characters>474</Characters>
  <Lines>3</Lines>
  <Paragraphs>1</Paragraphs>
  <TotalTime>50</TotalTime>
  <ScaleCrop>false</ScaleCrop>
  <LinksUpToDate>false</LinksUpToDate>
  <CharactersWithSpaces>556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2023-12-25T07:32:00Z</dcterms:created>
  <dc:creator>NTKO</dc:creator>
  <cp:lastModifiedBy>卢绮晴</cp:lastModifiedBy>
  <dcterms:modified xsi:type="dcterms:W3CDTF">2024-03-18T01:54:10Z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5A7D0D2B6D7F4340ADD9D86F76B007DB</vt:lpwstr>
  </property>
</Properties>
</file>