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D0E" w:rsidRDefault="00EA241B" w:rsidP="000772BE">
      <w:pPr>
        <w:pStyle w:val="10"/>
      </w:pPr>
      <w:r w:rsidRPr="00075D0E">
        <w:rPr>
          <w:rFonts w:hint="eastAsia"/>
        </w:rPr>
        <w:t>广州市人民</w:t>
      </w:r>
      <w:r w:rsidR="00075D0E">
        <w:rPr>
          <w:rFonts w:hint="eastAsia"/>
        </w:rPr>
        <w:t>政府办公厅关于全市电子商务与移动互联网集聚区总体规划布局的意见</w:t>
      </w:r>
    </w:p>
    <w:p w:rsidR="00EA241B" w:rsidRPr="00075D0E" w:rsidRDefault="00EA241B" w:rsidP="000772BE">
      <w:pPr>
        <w:pStyle w:val="ab"/>
      </w:pPr>
      <w:r w:rsidRPr="00075D0E">
        <w:rPr>
          <w:rFonts w:hint="eastAsia"/>
        </w:rPr>
        <w:t>穗府办〔2014〕41</w:t>
      </w:r>
      <w:r w:rsidR="00075D0E" w:rsidRPr="00075D0E">
        <w:rPr>
          <w:rFonts w:hint="eastAsia"/>
        </w:rPr>
        <w:t>号</w:t>
      </w:r>
    </w:p>
    <w:p w:rsidR="00075D0E" w:rsidRPr="00075D0E" w:rsidRDefault="00075D0E" w:rsidP="00075D0E">
      <w:pPr>
        <w:pStyle w:val="a3"/>
        <w:shd w:val="clear" w:color="auto" w:fill="FFFFFF"/>
        <w:spacing w:before="0" w:beforeAutospacing="0" w:after="0" w:afterAutospacing="0" w:line="360" w:lineRule="auto"/>
        <w:jc w:val="center"/>
        <w:rPr>
          <w:b/>
          <w:color w:val="333333"/>
          <w:sz w:val="32"/>
        </w:rPr>
      </w:pPr>
    </w:p>
    <w:p w:rsidR="000772BE" w:rsidRDefault="00EA241B" w:rsidP="000772BE">
      <w:pPr>
        <w:pStyle w:val="a7"/>
      </w:pPr>
      <w:r w:rsidRPr="00EA241B">
        <w:rPr>
          <w:rFonts w:hint="eastAsia"/>
        </w:rPr>
        <w:t>各区、县级市人民政府，市政府各部门、各直属机构：</w:t>
      </w:r>
    </w:p>
    <w:p w:rsidR="000772BE" w:rsidRDefault="00EA241B" w:rsidP="000772BE">
      <w:pPr>
        <w:pStyle w:val="ad"/>
        <w:ind w:firstLine="640"/>
      </w:pPr>
      <w:r w:rsidRPr="00EA241B">
        <w:rPr>
          <w:rFonts w:hint="eastAsia"/>
        </w:rPr>
        <w:t>为推动电子商务和移动互联网产业集聚发展，经市人民政府同意，现对全市电子商务与移动互联网集聚区总体规划布局提出如下意见：</w:t>
      </w:r>
    </w:p>
    <w:p w:rsidR="000772BE" w:rsidRDefault="00EA241B" w:rsidP="00760335">
      <w:pPr>
        <w:pStyle w:val="20"/>
        <w:ind w:firstLine="640"/>
        <w:outlineLvl w:val="0"/>
      </w:pPr>
      <w:r w:rsidRPr="000772BE">
        <w:rPr>
          <w:rFonts w:hint="eastAsia"/>
        </w:rPr>
        <w:t>一、重要意义</w:t>
      </w:r>
    </w:p>
    <w:p w:rsidR="000772BE" w:rsidRDefault="00EA241B" w:rsidP="000772BE">
      <w:pPr>
        <w:pStyle w:val="ad"/>
        <w:ind w:firstLine="640"/>
      </w:pPr>
      <w:r w:rsidRPr="000772BE">
        <w:rPr>
          <w:rFonts w:hint="eastAsia"/>
        </w:rPr>
        <w:t>近年来，我市电子商务与移动互联网产业发展迅猛，总体水平位居全国前列。2013年，全市电子商务交易额超万亿元，网络购物采购额和销售额分别达300亿元和400亿元，在国内城市排名中名列前茅；培育出一大批国内领先的电子商务和移动互联网骨干企业，综合竞争实力显著提升。但与先进城市相比，我市电子商务与移动互联网发展还存在产业集聚度不高、配套服务体系不完善等突出问题。因此，明确产业规划布局，引导产业集聚发展，抢占发展制高点迫在眉睫。</w:t>
      </w:r>
    </w:p>
    <w:p w:rsidR="000772BE" w:rsidRDefault="00EA241B" w:rsidP="000772BE">
      <w:pPr>
        <w:pStyle w:val="ad"/>
        <w:ind w:firstLine="640"/>
      </w:pPr>
      <w:r w:rsidRPr="000772BE">
        <w:rPr>
          <w:rFonts w:hint="eastAsia"/>
        </w:rPr>
        <w:lastRenderedPageBreak/>
        <w:t>(一)有利于引导产业集聚发展。打造新兴产业发展战略性平台，实现资源共享、营造氛围、提高公共服务水平，有利于形成集聚品牌效应。</w:t>
      </w:r>
    </w:p>
    <w:p w:rsidR="000772BE" w:rsidRDefault="00EA241B" w:rsidP="000772BE">
      <w:pPr>
        <w:pStyle w:val="ad"/>
        <w:ind w:firstLine="640"/>
      </w:pPr>
      <w:r w:rsidRPr="000772BE">
        <w:rPr>
          <w:rFonts w:hint="eastAsia"/>
        </w:rPr>
        <w:t>(二)有利于促进电子商务与相关产业融合发展。促进电子商务与实体经济产业融合发展、错位发展，发挥各区比较优势，实现线上线下融合，实体经济与虚拟经济互补。</w:t>
      </w:r>
    </w:p>
    <w:p w:rsidR="000772BE" w:rsidRDefault="00EA241B" w:rsidP="000772BE">
      <w:pPr>
        <w:pStyle w:val="ad"/>
        <w:ind w:firstLine="640"/>
      </w:pPr>
      <w:r w:rsidRPr="000772BE">
        <w:rPr>
          <w:rFonts w:hint="eastAsia"/>
        </w:rPr>
        <w:t>(三)有利于节约集约用地实现可持续发展。明确集聚区总体规划布局，不仅可以满足企业现实要求，也可以预留充足发展空间，有利于节约集约土地，为我市电子商务产业可持续发展打下坚实基础。</w:t>
      </w:r>
    </w:p>
    <w:p w:rsidR="000772BE" w:rsidRDefault="00EA241B" w:rsidP="000772BE">
      <w:pPr>
        <w:pStyle w:val="ad"/>
        <w:ind w:firstLine="640"/>
      </w:pPr>
      <w:r w:rsidRPr="000772BE">
        <w:rPr>
          <w:rFonts w:hint="eastAsia"/>
        </w:rPr>
        <w:t>(四)有利于提升城市竞争力。进一步明确全市电子商务与移动互联网总体规划布局，规划建设一批电子商务总部区、集聚区和产业基地，有利于留住本土电子商务龙头企业，增强我市电子商务招商吸引力。</w:t>
      </w:r>
    </w:p>
    <w:p w:rsidR="000772BE" w:rsidRDefault="00EA241B" w:rsidP="000772BE">
      <w:pPr>
        <w:pStyle w:val="ad"/>
        <w:ind w:firstLine="640"/>
      </w:pPr>
      <w:r w:rsidRPr="000772BE">
        <w:rPr>
          <w:rFonts w:hint="eastAsia"/>
        </w:rPr>
        <w:t>(五)有利于形成错位发展良性竞争的产业格局。有效避免各区之间无序竞争和同质化布局，并可充分调动各区工作积极性，形成比学赶超、错位发展、良性竞争、互动发展的氛围。</w:t>
      </w:r>
    </w:p>
    <w:p w:rsidR="000772BE" w:rsidRDefault="00EA241B" w:rsidP="00760335">
      <w:pPr>
        <w:pStyle w:val="20"/>
        <w:ind w:firstLine="640"/>
        <w:outlineLvl w:val="0"/>
      </w:pPr>
      <w:r w:rsidRPr="000772BE">
        <w:rPr>
          <w:rFonts w:hint="eastAsia"/>
        </w:rPr>
        <w:t>二、规划布局原则</w:t>
      </w:r>
    </w:p>
    <w:p w:rsidR="000772BE" w:rsidRDefault="00EA241B" w:rsidP="000772BE">
      <w:pPr>
        <w:pStyle w:val="ad"/>
        <w:ind w:firstLine="640"/>
      </w:pPr>
      <w:r w:rsidRPr="000772BE">
        <w:rPr>
          <w:rFonts w:hint="eastAsia"/>
        </w:rPr>
        <w:t>(一)与我市新型城市化发展和国家中心城市建设的产业发展总体要求相衔接。</w:t>
      </w:r>
    </w:p>
    <w:p w:rsidR="000772BE" w:rsidRDefault="00EA241B" w:rsidP="000772BE">
      <w:pPr>
        <w:pStyle w:val="ad"/>
        <w:ind w:firstLine="640"/>
      </w:pPr>
      <w:r w:rsidRPr="000772BE">
        <w:rPr>
          <w:rFonts w:hint="eastAsia"/>
        </w:rPr>
        <w:lastRenderedPageBreak/>
        <w:t>(二)与我市产业转型升级相衔接，将电子商务应用作为推动中心城区专业批发市场和全市制造业转型升级的重要手段。</w:t>
      </w:r>
    </w:p>
    <w:p w:rsidR="000772BE" w:rsidRDefault="00EA241B" w:rsidP="000772BE">
      <w:pPr>
        <w:pStyle w:val="ad"/>
        <w:ind w:firstLine="640"/>
      </w:pPr>
      <w:r w:rsidRPr="000772BE">
        <w:rPr>
          <w:rFonts w:hint="eastAsia"/>
        </w:rPr>
        <w:t>(三)与各区(县级市)产业发展现状、特色以及区位优势相衔接，优化我市电子商务和移动互联网集聚发展布局，做到“一区一特色，区区有亮点”。</w:t>
      </w:r>
    </w:p>
    <w:p w:rsidR="000772BE" w:rsidRDefault="00EA241B" w:rsidP="000772BE">
      <w:pPr>
        <w:pStyle w:val="ad"/>
        <w:ind w:firstLine="640"/>
      </w:pPr>
      <w:r w:rsidRPr="000772BE">
        <w:rPr>
          <w:rFonts w:hint="eastAsia"/>
        </w:rPr>
        <w:t>(四)与电子商务企业物流配送发展需要相衔接，符合电子商务及移动互联网企业特性，选址尽量做到交通便利。</w:t>
      </w:r>
    </w:p>
    <w:p w:rsidR="000772BE" w:rsidRDefault="00EA241B" w:rsidP="000772BE">
      <w:pPr>
        <w:pStyle w:val="ad"/>
        <w:ind w:firstLine="640"/>
      </w:pPr>
      <w:r w:rsidRPr="000772BE">
        <w:rPr>
          <w:rFonts w:hint="eastAsia"/>
        </w:rPr>
        <w:t>(五)与产业发展和城市发展的可持续性相衔接，预留充足发展空间。</w:t>
      </w:r>
    </w:p>
    <w:p w:rsidR="000772BE" w:rsidRDefault="00EA241B" w:rsidP="000772BE">
      <w:pPr>
        <w:pStyle w:val="ad"/>
        <w:ind w:firstLine="640"/>
      </w:pPr>
      <w:r w:rsidRPr="000772BE">
        <w:rPr>
          <w:rFonts w:hint="eastAsia"/>
        </w:rPr>
        <w:t>(六)与土地利用总体规划相衔接，贯彻节约集约用地和严格保护耕地的原则，尽量减少占用和避让耕地。</w:t>
      </w:r>
    </w:p>
    <w:p w:rsidR="000772BE" w:rsidRDefault="00EA241B" w:rsidP="00760335">
      <w:pPr>
        <w:pStyle w:val="20"/>
        <w:ind w:firstLine="640"/>
        <w:outlineLvl w:val="0"/>
      </w:pPr>
      <w:r w:rsidRPr="000772BE">
        <w:rPr>
          <w:rFonts w:hint="eastAsia"/>
        </w:rPr>
        <w:t>三、规划布局思路</w:t>
      </w:r>
    </w:p>
    <w:p w:rsidR="000772BE" w:rsidRDefault="00EA241B" w:rsidP="000772BE">
      <w:pPr>
        <w:pStyle w:val="ad"/>
        <w:ind w:firstLine="640"/>
      </w:pPr>
      <w:r w:rsidRPr="000772BE">
        <w:rPr>
          <w:rFonts w:hint="eastAsia"/>
        </w:rPr>
        <w:t>(一)总体思路。</w:t>
      </w:r>
    </w:p>
    <w:p w:rsidR="000772BE" w:rsidRDefault="00EA241B" w:rsidP="000772BE">
      <w:pPr>
        <w:pStyle w:val="ad"/>
        <w:ind w:firstLine="640"/>
      </w:pPr>
      <w:r w:rsidRPr="000772BE">
        <w:rPr>
          <w:rFonts w:hint="eastAsia"/>
        </w:rPr>
        <w:t>按照分层次布局、分梯队推进的思路，全市电子商务和移动互联网集聚区按照“1+1+9”进行总体规划布局(详见附件)。“1+1”是指1个总部区和1个产业集聚发展区，分别在海珠区琶洲和荔湾区白鹅潭规划建设；“9”是指9个产业基地，分别在其他9个区结合各自实际情况规划建设。通过“1+1+9”规划布局，形成总部引领、集聚发展、各具特色、优势互补、协同发展的电子商务和移动互联网产业集群。</w:t>
      </w:r>
    </w:p>
    <w:p w:rsidR="000772BE" w:rsidRDefault="00EA241B" w:rsidP="000772BE">
      <w:pPr>
        <w:pStyle w:val="ad"/>
        <w:ind w:firstLine="640"/>
      </w:pPr>
      <w:r w:rsidRPr="000772BE">
        <w:rPr>
          <w:rFonts w:hint="eastAsia"/>
        </w:rPr>
        <w:lastRenderedPageBreak/>
        <w:t>(二)集中资源打造1个总部区和1个集聚区(“1+1”)。</w:t>
      </w:r>
    </w:p>
    <w:p w:rsidR="000772BE" w:rsidRDefault="00EA241B" w:rsidP="000772BE">
      <w:pPr>
        <w:pStyle w:val="ad"/>
        <w:ind w:firstLine="640"/>
      </w:pPr>
      <w:r w:rsidRPr="000772BE">
        <w:rPr>
          <w:rFonts w:hint="eastAsia"/>
        </w:rPr>
        <w:t>集中力量打造一个拉动辐射效应明显的电子商务总部区，同时建设一个电子商务集聚区，加快塑造广州电子商务和移动互联网集聚发展品牌形象。</w:t>
      </w:r>
    </w:p>
    <w:p w:rsidR="000772BE" w:rsidRDefault="00EA241B" w:rsidP="000772BE">
      <w:pPr>
        <w:pStyle w:val="ad"/>
        <w:ind w:firstLine="640"/>
      </w:pPr>
      <w:r w:rsidRPr="000772BE">
        <w:rPr>
          <w:rFonts w:hint="eastAsia"/>
        </w:rPr>
        <w:t>广州市电子商务与移动互联网产业总部区选址海珠琶洲。发展定位为：引导集聚电子商务研发、支付、营销、运营等电子商务服务高端要素，吸引国内外电子商务与移动互联网总部企业落户，建设亚太地区电子商务总部示范基地。</w:t>
      </w:r>
    </w:p>
    <w:p w:rsidR="000772BE" w:rsidRDefault="00EA241B" w:rsidP="000772BE">
      <w:pPr>
        <w:pStyle w:val="ad"/>
        <w:ind w:firstLine="640"/>
      </w:pPr>
      <w:r w:rsidRPr="000772BE">
        <w:rPr>
          <w:rFonts w:hint="eastAsia"/>
        </w:rPr>
        <w:t>广州市电子商务与移动互联网产业集聚发展区选址荔湾白鹅潭。发展定位为：引导集聚电子商务龙头企业及中小电子商务企业落户，打造千亿级电子商务集聚发展区。</w:t>
      </w:r>
    </w:p>
    <w:p w:rsidR="000772BE" w:rsidRDefault="00EA241B" w:rsidP="000772BE">
      <w:pPr>
        <w:pStyle w:val="ad"/>
        <w:ind w:firstLine="640"/>
      </w:pPr>
      <w:r w:rsidRPr="000772BE">
        <w:rPr>
          <w:rFonts w:hint="eastAsia"/>
        </w:rPr>
        <w:t>总部区和集聚区两者功能既错位又互补，既合作又竞争，相互促进，相得益彰，在市的层面享受同等优惠政策。</w:t>
      </w:r>
    </w:p>
    <w:p w:rsidR="000772BE" w:rsidRDefault="00EA241B" w:rsidP="000772BE">
      <w:pPr>
        <w:pStyle w:val="ad"/>
        <w:ind w:firstLine="640"/>
      </w:pPr>
      <w:r w:rsidRPr="000772BE">
        <w:rPr>
          <w:rFonts w:hint="eastAsia"/>
        </w:rPr>
        <w:t>(三)因地制宜建设“9”个各具特色产业基地。</w:t>
      </w:r>
    </w:p>
    <w:p w:rsidR="000772BE" w:rsidRDefault="00EA241B" w:rsidP="000772BE">
      <w:pPr>
        <w:pStyle w:val="ad"/>
        <w:ind w:firstLine="640"/>
      </w:pPr>
      <w:r w:rsidRPr="000772BE">
        <w:rPr>
          <w:rFonts w:hint="eastAsia"/>
        </w:rPr>
        <w:t>“9”个产业基地发展定位：结合各区(县级市)产业特色和比较优势，发展综合性或行业电子商务平台、电子商务产业物流基地和特色产业平台等。</w:t>
      </w:r>
    </w:p>
    <w:p w:rsidR="000772BE" w:rsidRDefault="00EA241B" w:rsidP="000772BE">
      <w:pPr>
        <w:pStyle w:val="ad"/>
        <w:ind w:firstLine="640"/>
      </w:pPr>
      <w:r w:rsidRPr="000772BE">
        <w:rPr>
          <w:rFonts w:hint="eastAsia"/>
        </w:rPr>
        <w:t>黄埔、萝岗区选址丰乐路——状元谷——云埔——开发区东区——中新广州知识城的产业带，规划建设国家电子商务示范基地。</w:t>
      </w:r>
    </w:p>
    <w:p w:rsidR="000772BE" w:rsidRDefault="00EA241B" w:rsidP="000772BE">
      <w:pPr>
        <w:pStyle w:val="ad"/>
        <w:ind w:firstLine="640"/>
      </w:pPr>
      <w:r w:rsidRPr="000772BE">
        <w:rPr>
          <w:rFonts w:hint="eastAsia"/>
        </w:rPr>
        <w:lastRenderedPageBreak/>
        <w:t>天河区选址天河智慧城，规划建设电子商务与移动互联网产业基地。</w:t>
      </w:r>
    </w:p>
    <w:p w:rsidR="000772BE" w:rsidRDefault="00EA241B" w:rsidP="000772BE">
      <w:pPr>
        <w:pStyle w:val="ad"/>
        <w:ind w:firstLine="640"/>
      </w:pPr>
      <w:r w:rsidRPr="000772BE">
        <w:rPr>
          <w:rFonts w:hint="eastAsia"/>
        </w:rPr>
        <w:t>越秀区选址环市路——先烈路——广州大道产业带，规划建设电子商务和移动互联网产业基地。</w:t>
      </w:r>
    </w:p>
    <w:p w:rsidR="000772BE" w:rsidRDefault="00EA241B" w:rsidP="000772BE">
      <w:pPr>
        <w:pStyle w:val="ad"/>
        <w:ind w:firstLine="640"/>
      </w:pPr>
      <w:r w:rsidRPr="000772BE">
        <w:rPr>
          <w:rFonts w:hint="eastAsia"/>
        </w:rPr>
        <w:t>番禺区选址化龙广州国际商品展贸城，规划建设电商物流场地+体验场地+互联网数据处理中心。</w:t>
      </w:r>
    </w:p>
    <w:p w:rsidR="000772BE" w:rsidRDefault="00EA241B" w:rsidP="000772BE">
      <w:pPr>
        <w:pStyle w:val="ad"/>
        <w:ind w:firstLine="640"/>
      </w:pPr>
      <w:r w:rsidRPr="000772BE">
        <w:rPr>
          <w:rFonts w:hint="eastAsia"/>
        </w:rPr>
        <w:t>花都区选址空港经济区，规划建设空港经济型电子商务产业基地。</w:t>
      </w:r>
    </w:p>
    <w:p w:rsidR="000772BE" w:rsidRDefault="00EA241B" w:rsidP="000772BE">
      <w:pPr>
        <w:pStyle w:val="ad"/>
        <w:ind w:firstLine="640"/>
      </w:pPr>
      <w:r w:rsidRPr="000772BE">
        <w:rPr>
          <w:rFonts w:hint="eastAsia"/>
        </w:rPr>
        <w:t>白云区选址民营科技园，规划建设民企创新创业型电子商务产业基地。</w:t>
      </w:r>
    </w:p>
    <w:p w:rsidR="000772BE" w:rsidRDefault="00EA241B" w:rsidP="000772BE">
      <w:pPr>
        <w:pStyle w:val="ad"/>
        <w:ind w:firstLine="640"/>
      </w:pPr>
      <w:r w:rsidRPr="000772BE">
        <w:rPr>
          <w:rFonts w:hint="eastAsia"/>
        </w:rPr>
        <w:t>增城市选址新塘，规划建设中小企业公共服务平台型电子商务产业基地。</w:t>
      </w:r>
    </w:p>
    <w:p w:rsidR="000772BE" w:rsidRDefault="00EA241B" w:rsidP="000772BE">
      <w:pPr>
        <w:pStyle w:val="ad"/>
        <w:ind w:firstLine="640"/>
      </w:pPr>
      <w:r w:rsidRPr="000772BE">
        <w:rPr>
          <w:rFonts w:hint="eastAsia"/>
        </w:rPr>
        <w:t>从化市选址江埔街，规划建设农村电子商务产业园。</w:t>
      </w:r>
    </w:p>
    <w:p w:rsidR="000772BE" w:rsidRDefault="00EA241B" w:rsidP="000772BE">
      <w:pPr>
        <w:pStyle w:val="ad"/>
        <w:ind w:firstLine="640"/>
      </w:pPr>
      <w:r w:rsidRPr="000772BE">
        <w:rPr>
          <w:rFonts w:hint="eastAsia"/>
        </w:rPr>
        <w:t>南沙区选址南沙港区(龙穴)，规划建设跨境贸易电子商务产业园。</w:t>
      </w:r>
    </w:p>
    <w:p w:rsidR="000772BE" w:rsidRDefault="00EA241B" w:rsidP="00760335">
      <w:pPr>
        <w:pStyle w:val="20"/>
        <w:ind w:firstLine="640"/>
        <w:outlineLvl w:val="0"/>
      </w:pPr>
      <w:r w:rsidRPr="000772BE">
        <w:rPr>
          <w:rFonts w:hint="eastAsia"/>
        </w:rPr>
        <w:t>四、保障措施</w:t>
      </w:r>
    </w:p>
    <w:p w:rsidR="000772BE" w:rsidRDefault="00EA241B" w:rsidP="000772BE">
      <w:pPr>
        <w:pStyle w:val="ad"/>
        <w:ind w:firstLine="640"/>
      </w:pPr>
      <w:r w:rsidRPr="000772BE">
        <w:rPr>
          <w:rFonts w:hint="eastAsia"/>
        </w:rPr>
        <w:t>(一)编制产业总体发展规划。由市经贸委、科技和信息化局牵头，组织编制《广州市电子商务和移动互联网产业发展总体规划》，进一步明晰发展目标、发展原则、发展重点</w:t>
      </w:r>
      <w:r w:rsidRPr="000772BE">
        <w:rPr>
          <w:rFonts w:hint="eastAsia"/>
        </w:rPr>
        <w:lastRenderedPageBreak/>
        <w:t>和空间布局，作为全市电子商务和移动互联网产业发展的指引。</w:t>
      </w:r>
    </w:p>
    <w:p w:rsidR="000772BE" w:rsidRDefault="00EA241B" w:rsidP="000772BE">
      <w:pPr>
        <w:pStyle w:val="ad"/>
        <w:ind w:firstLine="640"/>
      </w:pPr>
      <w:r w:rsidRPr="000772BE">
        <w:rPr>
          <w:rFonts w:hint="eastAsia"/>
        </w:rPr>
        <w:t>(二)保障产业用地。各区(县级市)政府会同市国土房管局、规划局，优先保障电子商务和移动互联网总部区、集聚区和产业基地的用地指标，在符合“三规”的范围内明确具体选址。</w:t>
      </w:r>
    </w:p>
    <w:p w:rsidR="000772BE" w:rsidRDefault="00EA241B" w:rsidP="000772BE">
      <w:pPr>
        <w:pStyle w:val="ad"/>
        <w:ind w:firstLine="640"/>
      </w:pPr>
      <w:r w:rsidRPr="000772BE">
        <w:rPr>
          <w:rFonts w:hint="eastAsia"/>
        </w:rPr>
        <w:t>(三)研究制定一揽子扶持政策。由市经贸委、科技和信息化局牵头，市国土房管局、规划局、发展改革委、外经贸局、财政局参与，修改完善《关于加快电子商务发展的实施方案》，研究制定支持和鼓励电子商务和互联网产业加快发展在土地、引资等方面的配套政策，加大扶持力度，明确职责分工，统筹协调全市产业发展，防止恶性竞争。</w:t>
      </w:r>
    </w:p>
    <w:p w:rsidR="000772BE" w:rsidRDefault="00EA241B" w:rsidP="000772BE">
      <w:pPr>
        <w:pStyle w:val="ad"/>
        <w:ind w:firstLine="640"/>
      </w:pPr>
      <w:r w:rsidRPr="000772BE">
        <w:rPr>
          <w:rFonts w:hint="eastAsia"/>
        </w:rPr>
        <w:t>(四)完善配套服务。各区(县级市)政府加强集聚区与轻轨、地铁等便捷交通设施对接，加速公交配套；加强信用和安全认证、第三方支付等电子商务支撑服务体系建设；加快社会化、专业化、精细化的物流配送体系建设；加强人才支持，鼓励开展校企联合和订单式培训，积极面向国内外引进一批素质较高、层次合理、专业配套的电子商务人才，为促进电子商务产业发展保驾护航。</w:t>
      </w:r>
    </w:p>
    <w:p w:rsidR="000772BE" w:rsidRDefault="00EA241B" w:rsidP="000772BE">
      <w:pPr>
        <w:pStyle w:val="ad"/>
        <w:ind w:firstLine="640"/>
      </w:pPr>
      <w:r w:rsidRPr="000772BE">
        <w:rPr>
          <w:rFonts w:hint="eastAsia"/>
        </w:rPr>
        <w:t>(五)拓宽融资渠道。由市金融办牵头，研究突破产业发展融资瓶颈，建立与电子商务产业发展应用相适应的风险投资、股权投资、融资担保体系，创新电子商务企业信贷融资</w:t>
      </w:r>
      <w:r w:rsidRPr="000772BE">
        <w:rPr>
          <w:rFonts w:hint="eastAsia"/>
        </w:rPr>
        <w:lastRenderedPageBreak/>
        <w:t>方式，积极发展和利用多层次资本市场，加大对电子商务和移动互联网企业的金融支持力度。</w:t>
      </w:r>
    </w:p>
    <w:p w:rsidR="000772BE" w:rsidRDefault="00EA241B" w:rsidP="000772BE">
      <w:pPr>
        <w:pStyle w:val="ad"/>
        <w:ind w:firstLine="640"/>
      </w:pPr>
      <w:r w:rsidRPr="000772BE">
        <w:rPr>
          <w:rFonts w:hint="eastAsia"/>
        </w:rPr>
        <w:t>(六)开展统一宣传推介活动。由市经贸委、科技和信息化局牵头，组织开展面向国内外的统一宣传推介活动，集中展示广州电子商务和移动互联网产业集聚区的整体形象，增强招商引资吸引力。</w:t>
      </w: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0772BE" w:rsidRDefault="000772BE" w:rsidP="000772BE">
      <w:pPr>
        <w:pStyle w:val="ad"/>
        <w:ind w:firstLine="640"/>
      </w:pPr>
    </w:p>
    <w:p w:rsidR="00EA241B" w:rsidRPr="000772BE" w:rsidRDefault="00EA241B" w:rsidP="000772BE">
      <w:pPr>
        <w:pStyle w:val="a7"/>
      </w:pPr>
      <w:r w:rsidRPr="000772BE">
        <w:rPr>
          <w:rFonts w:hint="eastAsia"/>
        </w:rPr>
        <w:lastRenderedPageBreak/>
        <w:t>附件：全市电子商务与移动互联网集聚区总体规划布局一览表</w:t>
      </w:r>
    </w:p>
    <w:p w:rsidR="00EA241B" w:rsidRPr="00EA241B" w:rsidRDefault="00EA241B" w:rsidP="00EA241B">
      <w:pPr>
        <w:pStyle w:val="a3"/>
        <w:shd w:val="clear" w:color="auto" w:fill="FFFFFF"/>
        <w:spacing w:before="0" w:beforeAutospacing="0" w:after="0" w:afterAutospacing="0" w:line="360" w:lineRule="auto"/>
        <w:jc w:val="center"/>
        <w:rPr>
          <w:color w:val="333333"/>
        </w:rPr>
      </w:pPr>
      <w:bookmarkStart w:id="0" w:name="_GoBack"/>
      <w:r w:rsidRPr="00EA241B">
        <w:rPr>
          <w:noProof/>
          <w:color w:val="333333"/>
        </w:rPr>
        <w:drawing>
          <wp:inline distT="0" distB="0" distL="0" distR="0">
            <wp:extent cx="5354126" cy="5618539"/>
            <wp:effectExtent l="0" t="0" r="0" b="0"/>
            <wp:docPr id="1" name="图片 1" descr="http://www.gzii.gov.cn/sjmw/9.2/201605/1982b5aef298465c88c7b3ae66045c06/images/9c40812538114922a8baada325a40e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zii.gov.cn/sjmw/9.2/201605/1982b5aef298465c88c7b3ae66045c06/images/9c40812538114922a8baada325a40e81.gif"/>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0966" cy="5688679"/>
                    </a:xfrm>
                    <a:prstGeom prst="rect">
                      <a:avLst/>
                    </a:prstGeom>
                    <a:noFill/>
                    <a:ln>
                      <a:noFill/>
                    </a:ln>
                  </pic:spPr>
                </pic:pic>
              </a:graphicData>
            </a:graphic>
          </wp:inline>
        </w:drawing>
      </w:r>
      <w:bookmarkEnd w:id="0"/>
    </w:p>
    <w:p w:rsidR="00F67B50" w:rsidRDefault="000772BE" w:rsidP="000772BE">
      <w:pPr>
        <w:pStyle w:val="a9"/>
        <w:ind w:firstLine="640"/>
      </w:pPr>
      <w:r>
        <w:rPr>
          <w:rFonts w:hint="eastAsia"/>
        </w:rPr>
        <w:t>广州市人民政府办公厅</w:t>
      </w:r>
    </w:p>
    <w:p w:rsidR="000772BE" w:rsidRPr="00EA241B" w:rsidRDefault="000772BE" w:rsidP="000772BE">
      <w:pPr>
        <w:pStyle w:val="a9"/>
        <w:ind w:firstLine="640"/>
      </w:pPr>
      <w:r>
        <w:rPr>
          <w:rFonts w:hint="eastAsia"/>
        </w:rPr>
        <w:t>2</w:t>
      </w:r>
      <w:r>
        <w:t>014</w:t>
      </w:r>
      <w:r>
        <w:rPr>
          <w:rFonts w:hint="eastAsia"/>
        </w:rPr>
        <w:t>年0</w:t>
      </w:r>
      <w:r>
        <w:t>8</w:t>
      </w:r>
      <w:r>
        <w:rPr>
          <w:rFonts w:hint="eastAsia"/>
        </w:rPr>
        <w:t>月0</w:t>
      </w:r>
      <w:r>
        <w:t>8</w:t>
      </w:r>
      <w:r>
        <w:rPr>
          <w:rFonts w:hint="eastAsia"/>
        </w:rPr>
        <w:t>日</w:t>
      </w:r>
    </w:p>
    <w:sectPr w:rsidR="000772BE" w:rsidRPr="00EA241B" w:rsidSect="00DC1FB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9D6" w:rsidRPr="00DF4E3B" w:rsidRDefault="008939D6" w:rsidP="00075D0E">
      <w:r>
        <w:separator/>
      </w:r>
    </w:p>
  </w:endnote>
  <w:endnote w:type="continuationSeparator" w:id="1">
    <w:p w:rsidR="008939D6" w:rsidRPr="00DF4E3B" w:rsidRDefault="008939D6" w:rsidP="00075D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335" w:rsidRDefault="0076033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49724"/>
      <w:docPartObj>
        <w:docPartGallery w:val="Page Numbers (Bottom of Page)"/>
        <w:docPartUnique/>
      </w:docPartObj>
    </w:sdtPr>
    <w:sdtContent>
      <w:p w:rsidR="00760335" w:rsidRDefault="00760335">
        <w:pPr>
          <w:pStyle w:val="a6"/>
          <w:jc w:val="center"/>
        </w:pPr>
        <w:fldSimple w:instr=" PAGE   \* MERGEFORMAT ">
          <w:r w:rsidRPr="00760335">
            <w:rPr>
              <w:noProof/>
              <w:lang w:val="zh-CN"/>
            </w:rPr>
            <w:t>6</w:t>
          </w:r>
        </w:fldSimple>
      </w:p>
    </w:sdtContent>
  </w:sdt>
  <w:p w:rsidR="00760335" w:rsidRDefault="0076033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335" w:rsidRDefault="0076033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9D6" w:rsidRPr="00DF4E3B" w:rsidRDefault="008939D6" w:rsidP="00075D0E">
      <w:r>
        <w:separator/>
      </w:r>
    </w:p>
  </w:footnote>
  <w:footnote w:type="continuationSeparator" w:id="1">
    <w:p w:rsidR="008939D6" w:rsidRPr="00DF4E3B" w:rsidRDefault="008939D6" w:rsidP="00075D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335" w:rsidRDefault="0076033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335" w:rsidRDefault="00760335">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335" w:rsidRDefault="0076033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7672"/>
    <w:rsid w:val="0002354B"/>
    <w:rsid w:val="0006250B"/>
    <w:rsid w:val="00075D0E"/>
    <w:rsid w:val="000772BE"/>
    <w:rsid w:val="000A1716"/>
    <w:rsid w:val="000A591A"/>
    <w:rsid w:val="000C341C"/>
    <w:rsid w:val="000D6611"/>
    <w:rsid w:val="000D7764"/>
    <w:rsid w:val="001007B3"/>
    <w:rsid w:val="0013354F"/>
    <w:rsid w:val="00212B1E"/>
    <w:rsid w:val="002C5573"/>
    <w:rsid w:val="00307672"/>
    <w:rsid w:val="00343708"/>
    <w:rsid w:val="003838EC"/>
    <w:rsid w:val="004A3676"/>
    <w:rsid w:val="00506788"/>
    <w:rsid w:val="006570D3"/>
    <w:rsid w:val="007334B0"/>
    <w:rsid w:val="00760335"/>
    <w:rsid w:val="008939D6"/>
    <w:rsid w:val="00AE2E77"/>
    <w:rsid w:val="00B81131"/>
    <w:rsid w:val="00C90588"/>
    <w:rsid w:val="00DC1FB3"/>
    <w:rsid w:val="00E21AEE"/>
    <w:rsid w:val="00E265A1"/>
    <w:rsid w:val="00EA241B"/>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FB3"/>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EA241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A241B"/>
    <w:rPr>
      <w:b/>
      <w:bCs/>
    </w:rPr>
  </w:style>
  <w:style w:type="paragraph" w:styleId="a5">
    <w:name w:val="header"/>
    <w:basedOn w:val="a"/>
    <w:link w:val="Char"/>
    <w:uiPriority w:val="99"/>
    <w:semiHidden/>
    <w:unhideWhenUsed/>
    <w:rsid w:val="00075D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75D0E"/>
    <w:rPr>
      <w:sz w:val="18"/>
      <w:szCs w:val="18"/>
    </w:rPr>
  </w:style>
  <w:style w:type="paragraph" w:styleId="a6">
    <w:name w:val="footer"/>
    <w:basedOn w:val="a"/>
    <w:link w:val="Char0"/>
    <w:uiPriority w:val="99"/>
    <w:unhideWhenUsed/>
    <w:rsid w:val="00075D0E"/>
    <w:pPr>
      <w:tabs>
        <w:tab w:val="center" w:pos="4153"/>
        <w:tab w:val="right" w:pos="8306"/>
      </w:tabs>
      <w:snapToGrid w:val="0"/>
      <w:jc w:val="left"/>
    </w:pPr>
    <w:rPr>
      <w:sz w:val="18"/>
      <w:szCs w:val="18"/>
    </w:rPr>
  </w:style>
  <w:style w:type="character" w:customStyle="1" w:styleId="Char0">
    <w:name w:val="页脚 Char"/>
    <w:basedOn w:val="a0"/>
    <w:link w:val="a6"/>
    <w:uiPriority w:val="99"/>
    <w:rsid w:val="00075D0E"/>
    <w:rPr>
      <w:sz w:val="18"/>
      <w:szCs w:val="18"/>
    </w:rPr>
  </w:style>
  <w:style w:type="paragraph" w:customStyle="1" w:styleId="10">
    <w:name w:val="正式标题1"/>
    <w:basedOn w:val="a"/>
    <w:link w:val="11"/>
    <w:qFormat/>
    <w:rsid w:val="000772BE"/>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0772BE"/>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0772BE"/>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0772BE"/>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0772BE"/>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0772BE"/>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0772BE"/>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0772BE"/>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0772BE"/>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0772BE"/>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0772BE"/>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0772BE"/>
    <w:rPr>
      <w:rFonts w:ascii="仿宋" w:eastAsia="仿宋" w:hAnsi="仿宋" w:cs="宋体"/>
      <w:color w:val="000000" w:themeColor="text1"/>
      <w:kern w:val="0"/>
      <w:sz w:val="32"/>
      <w:szCs w:val="32"/>
      <w:shd w:val="clear" w:color="auto" w:fill="FFFFFF"/>
    </w:rPr>
  </w:style>
  <w:style w:type="paragraph" w:styleId="af">
    <w:name w:val="Document Map"/>
    <w:basedOn w:val="a"/>
    <w:link w:val="Char1"/>
    <w:uiPriority w:val="99"/>
    <w:semiHidden/>
    <w:unhideWhenUsed/>
    <w:rsid w:val="00760335"/>
    <w:rPr>
      <w:rFonts w:ascii="宋体" w:eastAsia="宋体"/>
      <w:sz w:val="18"/>
      <w:szCs w:val="18"/>
    </w:rPr>
  </w:style>
  <w:style w:type="character" w:customStyle="1" w:styleId="Char1">
    <w:name w:val="文档结构图 Char"/>
    <w:basedOn w:val="a0"/>
    <w:link w:val="af"/>
    <w:uiPriority w:val="99"/>
    <w:semiHidden/>
    <w:rsid w:val="00760335"/>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994185844">
      <w:bodyDiv w:val="1"/>
      <w:marLeft w:val="0"/>
      <w:marRight w:val="0"/>
      <w:marTop w:val="0"/>
      <w:marBottom w:val="0"/>
      <w:divBdr>
        <w:top w:val="none" w:sz="0" w:space="0" w:color="auto"/>
        <w:left w:val="none" w:sz="0" w:space="0" w:color="auto"/>
        <w:bottom w:val="none" w:sz="0" w:space="0" w:color="auto"/>
        <w:right w:val="none" w:sz="0" w:space="0" w:color="auto"/>
      </w:divBdr>
    </w:div>
    <w:div w:id="133996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7</cp:revision>
  <dcterms:created xsi:type="dcterms:W3CDTF">2019-11-12T03:59:00Z</dcterms:created>
  <dcterms:modified xsi:type="dcterms:W3CDTF">2020-01-19T09:27:00Z</dcterms:modified>
</cp:coreProperties>
</file>