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E7C" w:rsidRDefault="007574E0" w:rsidP="00E56E7C">
      <w:pPr>
        <w:pStyle w:val="1"/>
      </w:pPr>
      <w:r w:rsidRPr="00E56E7C">
        <w:rPr>
          <w:rStyle w:val="a6"/>
          <w:b w:val="0"/>
          <w:bCs w:val="0"/>
        </w:rPr>
        <w:t>广州市人民政府办公厅</w:t>
      </w:r>
    </w:p>
    <w:p w:rsidR="007574E0" w:rsidRPr="00E56E7C" w:rsidRDefault="007574E0" w:rsidP="00E56E7C">
      <w:pPr>
        <w:pStyle w:val="1"/>
        <w:rPr>
          <w:rStyle w:val="a6"/>
          <w:b w:val="0"/>
          <w:bCs w:val="0"/>
        </w:rPr>
      </w:pPr>
      <w:r w:rsidRPr="00E56E7C">
        <w:rPr>
          <w:rStyle w:val="a6"/>
          <w:b w:val="0"/>
          <w:bCs w:val="0"/>
        </w:rPr>
        <w:t>关于大力发展装配式建筑加快推进建筑产业现代化的实施意见</w:t>
      </w:r>
    </w:p>
    <w:p w:rsidR="007574E0" w:rsidRDefault="007574E0" w:rsidP="007574E0">
      <w:pPr>
        <w:pStyle w:val="a5"/>
        <w:shd w:val="clear" w:color="auto" w:fill="FFFFFF"/>
        <w:spacing w:before="0" w:beforeAutospacing="0" w:after="0" w:afterAutospacing="0"/>
        <w:jc w:val="center"/>
        <w:rPr>
          <w:rFonts w:ascii="Arial" w:hAnsi="Arial" w:cs="Arial"/>
          <w:color w:val="191919"/>
        </w:rPr>
      </w:pPr>
    </w:p>
    <w:p w:rsidR="007574E0" w:rsidRDefault="007574E0" w:rsidP="00E56E7C">
      <w:pPr>
        <w:pStyle w:val="ac"/>
        <w:rPr>
          <w:bdr w:val="none" w:sz="0" w:space="0" w:color="auto" w:frame="1"/>
        </w:rPr>
      </w:pPr>
      <w:r>
        <w:rPr>
          <w:bdr w:val="none" w:sz="0" w:space="0" w:color="auto" w:frame="1"/>
        </w:rPr>
        <w:t>穗府办规〔2017〕14号</w:t>
      </w:r>
    </w:p>
    <w:p w:rsidR="007574E0" w:rsidRDefault="007574E0" w:rsidP="007574E0">
      <w:pPr>
        <w:pStyle w:val="a5"/>
        <w:shd w:val="clear" w:color="auto" w:fill="FFFFFF"/>
        <w:spacing w:before="0" w:beforeAutospacing="0" w:after="0" w:afterAutospacing="0"/>
        <w:rPr>
          <w:rFonts w:ascii="Arial" w:hAnsi="Arial" w:cs="Arial"/>
          <w:color w:val="191919"/>
          <w:bdr w:val="none" w:sz="0" w:space="0" w:color="auto" w:frame="1"/>
        </w:rPr>
      </w:pPr>
    </w:p>
    <w:p w:rsidR="007574E0" w:rsidRDefault="007574E0" w:rsidP="007574E0">
      <w:pPr>
        <w:pStyle w:val="a5"/>
        <w:shd w:val="clear" w:color="auto" w:fill="FFFFFF"/>
        <w:spacing w:before="0" w:beforeAutospacing="0" w:after="0" w:afterAutospacing="0"/>
        <w:rPr>
          <w:rFonts w:ascii="Arial" w:hAnsi="Arial" w:cs="Arial"/>
          <w:color w:val="191919"/>
        </w:rPr>
      </w:pPr>
    </w:p>
    <w:p w:rsidR="007574E0" w:rsidRDefault="007574E0" w:rsidP="00E56E7C">
      <w:pPr>
        <w:pStyle w:val="a8"/>
      </w:pPr>
      <w:r>
        <w:rPr>
          <w:bdr w:val="none" w:sz="0" w:space="0" w:color="auto" w:frame="1"/>
        </w:rPr>
        <w:t>各区人民政府，市政府各部门、各直属机构：</w:t>
      </w:r>
    </w:p>
    <w:p w:rsidR="007574E0" w:rsidRDefault="007574E0" w:rsidP="00E56E7C">
      <w:pPr>
        <w:pStyle w:val="ae"/>
        <w:ind w:firstLine="640"/>
      </w:pPr>
      <w:r>
        <w:rPr>
          <w:bdr w:val="none" w:sz="0" w:space="0" w:color="auto" w:frame="1"/>
        </w:rPr>
        <w:t>为贯彻落实《国务院办公厅关于大力发展装配式建筑的指导意见》（国办发〔2016〕71号）、《广东省人民政府办公厅关于大力发展装配式建筑的实施意见》（粤府办〔2017〕28号），加快我市装配式建筑发展，推进建筑产业现代化，促进建筑业转型升级，经市人民政府同意，现提出以下实施意见。</w:t>
      </w:r>
    </w:p>
    <w:p w:rsidR="007574E0" w:rsidRDefault="007574E0" w:rsidP="00AB4B3B">
      <w:pPr>
        <w:pStyle w:val="2"/>
        <w:ind w:firstLine="643"/>
        <w:outlineLvl w:val="0"/>
      </w:pPr>
      <w:r>
        <w:rPr>
          <w:rStyle w:val="a6"/>
          <w:rFonts w:ascii="Arial" w:hAnsi="Arial" w:cs="Arial"/>
          <w:color w:val="191919"/>
          <w:bdr w:val="none" w:sz="0" w:space="0" w:color="auto" w:frame="1"/>
        </w:rPr>
        <w:t>一、总体要求</w:t>
      </w:r>
    </w:p>
    <w:p w:rsidR="007574E0" w:rsidRDefault="007574E0" w:rsidP="00AB4B3B">
      <w:pPr>
        <w:pStyle w:val="ae"/>
        <w:ind w:firstLine="643"/>
        <w:outlineLvl w:val="0"/>
        <w:rPr>
          <w:rFonts w:ascii="Arial" w:hAnsi="Arial" w:cs="Arial"/>
          <w:color w:val="191919"/>
        </w:rPr>
      </w:pPr>
      <w:r>
        <w:rPr>
          <w:rStyle w:val="a6"/>
          <w:rFonts w:ascii="Arial" w:hAnsi="Arial" w:cs="Arial"/>
          <w:color w:val="191919"/>
          <w:bdr w:val="none" w:sz="0" w:space="0" w:color="auto" w:frame="1"/>
        </w:rPr>
        <w:t>（一）指导思想。</w:t>
      </w:r>
    </w:p>
    <w:p w:rsidR="007574E0" w:rsidRDefault="007574E0" w:rsidP="00E56E7C">
      <w:pPr>
        <w:pStyle w:val="ae"/>
        <w:ind w:firstLine="640"/>
        <w:rPr>
          <w:rFonts w:ascii="Arial" w:hAnsi="Arial" w:cs="Arial"/>
          <w:color w:val="191919"/>
        </w:rPr>
      </w:pPr>
      <w:r>
        <w:rPr>
          <w:rFonts w:ascii="Arial" w:hAnsi="Arial" w:cs="Arial"/>
          <w:color w:val="191919"/>
          <w:bdr w:val="none" w:sz="0" w:space="0" w:color="auto" w:frame="1"/>
        </w:rPr>
        <w:t>全面贯彻落实中央和省的决策部署，牢固树立创新、协调、绿色、开放、共享的发展理念，按照适用、经济、安全、绿色、美观的要求，大力发展装配式建筑，推动建造方式创新，促进建筑业与信息化、工业化深度融合，开创具有广州特色的建筑产业现代化发展新局面。</w:t>
      </w:r>
    </w:p>
    <w:p w:rsidR="007574E0" w:rsidRDefault="007574E0" w:rsidP="00AB4B3B">
      <w:pPr>
        <w:pStyle w:val="ae"/>
        <w:ind w:firstLine="643"/>
        <w:outlineLvl w:val="0"/>
        <w:rPr>
          <w:rFonts w:ascii="Arial" w:hAnsi="Arial" w:cs="Arial"/>
          <w:color w:val="191919"/>
        </w:rPr>
      </w:pPr>
      <w:r>
        <w:rPr>
          <w:rStyle w:val="a6"/>
          <w:rFonts w:ascii="Arial" w:hAnsi="Arial" w:cs="Arial"/>
          <w:color w:val="191919"/>
          <w:bdr w:val="none" w:sz="0" w:space="0" w:color="auto" w:frame="1"/>
        </w:rPr>
        <w:lastRenderedPageBreak/>
        <w:t>（二）基本原则。</w:t>
      </w:r>
    </w:p>
    <w:p w:rsidR="007574E0" w:rsidRDefault="007574E0" w:rsidP="00E56E7C">
      <w:pPr>
        <w:pStyle w:val="ae"/>
        <w:ind w:firstLine="640"/>
      </w:pPr>
      <w:r>
        <w:rPr>
          <w:bdr w:val="none" w:sz="0" w:space="0" w:color="auto" w:frame="1"/>
        </w:rPr>
        <w:t>坚持市场主导，政府推动。充分发挥市场在资源配置中的决定性作用，更好地发挥政府规划引导和政策支持作用，形成有利的体制机制和市场环境，促进市场主体积极参与、协同配合，有序发展装配式建筑。加快推进标准化设计、工厂化生产、装配化施工、一体化装修、信息化管理、智能化应用，促进建筑产业现代化发展。</w:t>
      </w:r>
    </w:p>
    <w:p w:rsidR="007574E0" w:rsidRDefault="007574E0" w:rsidP="00E56E7C">
      <w:pPr>
        <w:pStyle w:val="ae"/>
        <w:ind w:firstLine="640"/>
        <w:rPr>
          <w:rFonts w:ascii="Arial" w:hAnsi="Arial" w:cs="Arial"/>
          <w:color w:val="191919"/>
        </w:rPr>
      </w:pPr>
      <w:r>
        <w:rPr>
          <w:rFonts w:ascii="Arial" w:hAnsi="Arial" w:cs="Arial"/>
          <w:color w:val="191919"/>
          <w:bdr w:val="none" w:sz="0" w:space="0" w:color="auto" w:frame="1"/>
        </w:rPr>
        <w:t>坚持顶层设计，协调发展。加强政策措施和规划计划等方面的顶层设计，把协同推进标准、设计、生产、施工、运营维护等作为发展装配式建筑的有效抓手，推动各个环节有机结合，以建造方式变革促进工程建设全过程提质增效，带动建筑业整体水平的提升。</w:t>
      </w:r>
    </w:p>
    <w:p w:rsidR="007574E0" w:rsidRDefault="007574E0" w:rsidP="00E56E7C">
      <w:pPr>
        <w:pStyle w:val="ae"/>
        <w:ind w:firstLine="640"/>
        <w:rPr>
          <w:rFonts w:ascii="Arial" w:hAnsi="Arial" w:cs="Arial"/>
          <w:color w:val="191919"/>
        </w:rPr>
      </w:pPr>
      <w:r>
        <w:rPr>
          <w:rFonts w:ascii="Arial" w:hAnsi="Arial" w:cs="Arial"/>
          <w:color w:val="191919"/>
          <w:bdr w:val="none" w:sz="0" w:space="0" w:color="auto" w:frame="1"/>
        </w:rPr>
        <w:t>坚持示范引领，全面推进。充分发挥政府投资的保障性住房、公共建筑以及市政工程等的示范作用，带动社会投资项目普及装配式建造。重点发展装配式混凝土建筑，积极推广钢结构、钢－混凝土组合结构、木结构以及其他适合建筑产业现代化的技术体系。</w:t>
      </w:r>
    </w:p>
    <w:p w:rsidR="007574E0" w:rsidRDefault="007574E0" w:rsidP="00AB4B3B">
      <w:pPr>
        <w:pStyle w:val="ae"/>
        <w:ind w:firstLine="643"/>
        <w:outlineLvl w:val="0"/>
        <w:rPr>
          <w:rFonts w:ascii="Arial" w:hAnsi="Arial" w:cs="Arial"/>
          <w:color w:val="191919"/>
        </w:rPr>
      </w:pPr>
      <w:r>
        <w:rPr>
          <w:rStyle w:val="a6"/>
          <w:rFonts w:ascii="Arial" w:hAnsi="Arial" w:cs="Arial"/>
          <w:color w:val="191919"/>
          <w:bdr w:val="none" w:sz="0" w:space="0" w:color="auto" w:frame="1"/>
        </w:rPr>
        <w:t>（三）发展目标。</w:t>
      </w:r>
    </w:p>
    <w:p w:rsidR="00C330EB" w:rsidRPr="00E56E7C" w:rsidRDefault="007574E0" w:rsidP="00E56E7C">
      <w:pPr>
        <w:pStyle w:val="ae"/>
        <w:ind w:firstLine="640"/>
        <w:rPr>
          <w:rStyle w:val="a6"/>
          <w:rFonts w:ascii="Arial" w:hAnsi="Arial" w:cs="Arial"/>
          <w:b w:val="0"/>
          <w:bCs w:val="0"/>
          <w:color w:val="191919"/>
        </w:rPr>
      </w:pPr>
      <w:r>
        <w:rPr>
          <w:rFonts w:ascii="Arial" w:hAnsi="Arial" w:cs="Arial"/>
          <w:color w:val="191919"/>
          <w:bdr w:val="none" w:sz="0" w:space="0" w:color="auto" w:frame="1"/>
        </w:rPr>
        <w:t>到</w:t>
      </w:r>
      <w:r>
        <w:rPr>
          <w:rFonts w:ascii="Arial" w:hAnsi="Arial" w:cs="Arial"/>
          <w:color w:val="191919"/>
          <w:bdr w:val="none" w:sz="0" w:space="0" w:color="auto" w:frame="1"/>
        </w:rPr>
        <w:t>2020</w:t>
      </w:r>
      <w:r>
        <w:rPr>
          <w:rFonts w:ascii="Arial" w:hAnsi="Arial" w:cs="Arial"/>
          <w:color w:val="191919"/>
          <w:bdr w:val="none" w:sz="0" w:space="0" w:color="auto" w:frame="1"/>
        </w:rPr>
        <w:t>年，实现装配式建筑占新建建筑的面积比例不低于</w:t>
      </w:r>
      <w:r>
        <w:rPr>
          <w:rFonts w:ascii="Arial" w:hAnsi="Arial" w:cs="Arial"/>
          <w:color w:val="191919"/>
          <w:bdr w:val="none" w:sz="0" w:space="0" w:color="auto" w:frame="1"/>
        </w:rPr>
        <w:t>30</w:t>
      </w:r>
      <w:r>
        <w:rPr>
          <w:rFonts w:ascii="Arial" w:hAnsi="Arial" w:cs="Arial"/>
          <w:color w:val="191919"/>
          <w:bdr w:val="none" w:sz="0" w:space="0" w:color="auto" w:frame="1"/>
        </w:rPr>
        <w:t>％；到</w:t>
      </w:r>
      <w:r>
        <w:rPr>
          <w:rFonts w:ascii="Arial" w:hAnsi="Arial" w:cs="Arial"/>
          <w:color w:val="191919"/>
          <w:bdr w:val="none" w:sz="0" w:space="0" w:color="auto" w:frame="1"/>
        </w:rPr>
        <w:t>2025</w:t>
      </w:r>
      <w:r>
        <w:rPr>
          <w:rFonts w:ascii="Arial" w:hAnsi="Arial" w:cs="Arial"/>
          <w:color w:val="191919"/>
          <w:bdr w:val="none" w:sz="0" w:space="0" w:color="auto" w:frame="1"/>
        </w:rPr>
        <w:t>年，实现装配式建筑占新建建筑的面积比例不低于</w:t>
      </w:r>
      <w:r>
        <w:rPr>
          <w:rFonts w:ascii="Arial" w:hAnsi="Arial" w:cs="Arial"/>
          <w:color w:val="191919"/>
          <w:bdr w:val="none" w:sz="0" w:space="0" w:color="auto" w:frame="1"/>
        </w:rPr>
        <w:t>50</w:t>
      </w:r>
      <w:r>
        <w:rPr>
          <w:rFonts w:ascii="Arial" w:hAnsi="Arial" w:cs="Arial"/>
          <w:color w:val="191919"/>
          <w:bdr w:val="none" w:sz="0" w:space="0" w:color="auto" w:frame="1"/>
        </w:rPr>
        <w:t>％。新立项的人才住房、保障性住房等政府投</w:t>
      </w:r>
      <w:r>
        <w:rPr>
          <w:rFonts w:ascii="Arial" w:hAnsi="Arial" w:cs="Arial"/>
          <w:color w:val="191919"/>
          <w:bdr w:val="none" w:sz="0" w:space="0" w:color="auto" w:frame="1"/>
        </w:rPr>
        <w:lastRenderedPageBreak/>
        <w:t>资的大中型建筑工程全面实施装配式建筑。以招拍挂方式出让用地的建设项目按比例实施装配式建筑。综合管廊、轨道交通、桥梁隧道等市政基础设施工程推广装配式建造方式。</w:t>
      </w:r>
    </w:p>
    <w:p w:rsidR="007574E0" w:rsidRDefault="007574E0" w:rsidP="00AB4B3B">
      <w:pPr>
        <w:pStyle w:val="2"/>
        <w:ind w:firstLine="643"/>
        <w:outlineLvl w:val="0"/>
      </w:pPr>
      <w:r>
        <w:rPr>
          <w:rStyle w:val="a6"/>
          <w:rFonts w:ascii="Arial" w:hAnsi="Arial" w:cs="Arial"/>
          <w:color w:val="191919"/>
          <w:bdr w:val="none" w:sz="0" w:space="0" w:color="auto" w:frame="1"/>
        </w:rPr>
        <w:t>二、重点任务</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（一）开展示范工程建设。</w:t>
      </w:r>
      <w:r>
        <w:rPr>
          <w:rFonts w:ascii="Arial" w:hAnsi="Arial" w:cs="Arial"/>
          <w:color w:val="191919"/>
          <w:bdr w:val="none" w:sz="0" w:space="0" w:color="auto" w:frame="1"/>
        </w:rPr>
        <w:t>2017</w:t>
      </w:r>
      <w:r>
        <w:rPr>
          <w:rFonts w:ascii="Arial" w:hAnsi="Arial" w:cs="Arial"/>
          <w:color w:val="191919"/>
          <w:bdr w:val="none" w:sz="0" w:space="0" w:color="auto" w:frame="1"/>
        </w:rPr>
        <w:t>年，各区政府及市住房保障办、市代建局、广州地铁集团、市城投集团等相关单位遴选合适的政府投资项目，各开工建设</w:t>
      </w:r>
      <w:r>
        <w:rPr>
          <w:rFonts w:ascii="Arial" w:hAnsi="Arial" w:cs="Arial"/>
          <w:color w:val="191919"/>
          <w:bdr w:val="none" w:sz="0" w:space="0" w:color="auto" w:frame="1"/>
        </w:rPr>
        <w:t>1</w:t>
      </w:r>
      <w:r>
        <w:rPr>
          <w:rFonts w:ascii="Arial" w:hAnsi="Arial" w:cs="Arial"/>
          <w:color w:val="191919"/>
          <w:bdr w:val="none" w:sz="0" w:space="0" w:color="auto" w:frame="1"/>
        </w:rPr>
        <w:t>个以上装配式建筑示范工程项目，重点推广较高预制率、装配率及建筑产业现代化程度高的成套部品和技术。鼓励社会投资项目开展装配式建筑示范工程建设。各区政府及广州地铁集团、市中心区交通项目办等相关单位积极开展市政基础设施项目装配式建造试点工作。</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（二）全面推广装配式建筑。</w:t>
      </w:r>
      <w:r>
        <w:rPr>
          <w:rFonts w:ascii="Arial" w:hAnsi="Arial" w:cs="Arial"/>
          <w:color w:val="191919"/>
          <w:bdr w:val="none" w:sz="0" w:space="0" w:color="auto" w:frame="1"/>
        </w:rPr>
        <w:t>各区政府及市住房保障办、市代建局、广州地铁集团、市城投集团等相关单位在试点示范的基础上，及时总结经验，按照全市装配式建筑发展目标，组织编制本地区、本单位装配式建筑年度实施计划，逐年提高装配式建筑占新建建筑面积比例。各区实现装配式建筑占新建建筑的面积比例，到</w:t>
      </w:r>
      <w:r>
        <w:rPr>
          <w:rFonts w:ascii="Arial" w:hAnsi="Arial" w:cs="Arial"/>
          <w:color w:val="191919"/>
          <w:bdr w:val="none" w:sz="0" w:space="0" w:color="auto" w:frame="1"/>
        </w:rPr>
        <w:t>2020</w:t>
      </w:r>
      <w:r>
        <w:rPr>
          <w:rFonts w:ascii="Arial" w:hAnsi="Arial" w:cs="Arial"/>
          <w:color w:val="191919"/>
          <w:bdr w:val="none" w:sz="0" w:space="0" w:color="auto" w:frame="1"/>
        </w:rPr>
        <w:t>年不低于</w:t>
      </w:r>
      <w:r>
        <w:rPr>
          <w:rFonts w:ascii="Arial" w:hAnsi="Arial" w:cs="Arial"/>
          <w:color w:val="191919"/>
          <w:bdr w:val="none" w:sz="0" w:space="0" w:color="auto" w:frame="1"/>
        </w:rPr>
        <w:t>30</w:t>
      </w:r>
      <w:r>
        <w:rPr>
          <w:rFonts w:ascii="Arial" w:hAnsi="Arial" w:cs="Arial"/>
          <w:color w:val="191919"/>
          <w:bdr w:val="none" w:sz="0" w:space="0" w:color="auto" w:frame="1"/>
        </w:rPr>
        <w:t>％，到</w:t>
      </w:r>
      <w:r>
        <w:rPr>
          <w:rFonts w:ascii="Arial" w:hAnsi="Arial" w:cs="Arial"/>
          <w:color w:val="191919"/>
          <w:bdr w:val="none" w:sz="0" w:space="0" w:color="auto" w:frame="1"/>
        </w:rPr>
        <w:t>2025</w:t>
      </w:r>
      <w:r>
        <w:rPr>
          <w:rFonts w:ascii="Arial" w:hAnsi="Arial" w:cs="Arial"/>
          <w:color w:val="191919"/>
          <w:bdr w:val="none" w:sz="0" w:space="0" w:color="auto" w:frame="1"/>
        </w:rPr>
        <w:t>年不低于</w:t>
      </w:r>
      <w:r>
        <w:rPr>
          <w:rFonts w:ascii="Arial" w:hAnsi="Arial" w:cs="Arial"/>
          <w:color w:val="191919"/>
          <w:bdr w:val="none" w:sz="0" w:space="0" w:color="auto" w:frame="1"/>
        </w:rPr>
        <w:t>50</w:t>
      </w:r>
      <w:r>
        <w:rPr>
          <w:rFonts w:ascii="Arial" w:hAnsi="Arial" w:cs="Arial"/>
          <w:color w:val="191919"/>
          <w:bdr w:val="none" w:sz="0" w:space="0" w:color="auto" w:frame="1"/>
        </w:rPr>
        <w:t>％；其中南沙、黄埔、天河、番禺、白云、荔湾等发展基础条件较好的区，到</w:t>
      </w:r>
      <w:r>
        <w:rPr>
          <w:rFonts w:ascii="Arial" w:hAnsi="Arial" w:cs="Arial"/>
          <w:color w:val="191919"/>
          <w:bdr w:val="none" w:sz="0" w:space="0" w:color="auto" w:frame="1"/>
        </w:rPr>
        <w:t>2020</w:t>
      </w:r>
      <w:r>
        <w:rPr>
          <w:rFonts w:ascii="Arial" w:hAnsi="Arial" w:cs="Arial"/>
          <w:color w:val="191919"/>
          <w:bdr w:val="none" w:sz="0" w:space="0" w:color="auto" w:frame="1"/>
        </w:rPr>
        <w:t>年力争达到</w:t>
      </w:r>
      <w:r>
        <w:rPr>
          <w:rFonts w:ascii="Arial" w:hAnsi="Arial" w:cs="Arial"/>
          <w:color w:val="191919"/>
          <w:bdr w:val="none" w:sz="0" w:space="0" w:color="auto" w:frame="1"/>
        </w:rPr>
        <w:t>40</w:t>
      </w:r>
      <w:r>
        <w:rPr>
          <w:rFonts w:ascii="Arial" w:hAnsi="Arial" w:cs="Arial"/>
          <w:color w:val="191919"/>
          <w:bdr w:val="none" w:sz="0" w:space="0" w:color="auto" w:frame="1"/>
        </w:rPr>
        <w:t>％，到</w:t>
      </w:r>
      <w:r>
        <w:rPr>
          <w:rFonts w:ascii="Arial" w:hAnsi="Arial" w:cs="Arial"/>
          <w:color w:val="191919"/>
          <w:bdr w:val="none" w:sz="0" w:space="0" w:color="auto" w:frame="1"/>
        </w:rPr>
        <w:t>2025</w:t>
      </w:r>
      <w:r>
        <w:rPr>
          <w:rFonts w:ascii="Arial" w:hAnsi="Arial" w:cs="Arial"/>
          <w:color w:val="191919"/>
          <w:bdr w:val="none" w:sz="0" w:space="0" w:color="auto" w:frame="1"/>
        </w:rPr>
        <w:t>年力争达到</w:t>
      </w:r>
      <w:r>
        <w:rPr>
          <w:rFonts w:ascii="Arial" w:hAnsi="Arial" w:cs="Arial"/>
          <w:color w:val="191919"/>
          <w:bdr w:val="none" w:sz="0" w:space="0" w:color="auto" w:frame="1"/>
        </w:rPr>
        <w:t>60</w:t>
      </w:r>
      <w:r>
        <w:rPr>
          <w:rFonts w:ascii="Arial" w:hAnsi="Arial" w:cs="Arial"/>
          <w:color w:val="191919"/>
          <w:bdr w:val="none" w:sz="0" w:space="0" w:color="auto" w:frame="1"/>
        </w:rPr>
        <w:t>％。</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lastRenderedPageBreak/>
        <w:t>（三）健全技术支撑体系。</w:t>
      </w:r>
      <w:r>
        <w:rPr>
          <w:rFonts w:ascii="Arial" w:hAnsi="Arial" w:cs="Arial"/>
          <w:color w:val="191919"/>
          <w:bdr w:val="none" w:sz="0" w:space="0" w:color="auto" w:frame="1"/>
        </w:rPr>
        <w:t>聚集和整合行业资源，组建建筑产业现代化技术创新联盟，引导相关单位重点开展建筑产业现代化技术体系的研究，包括设计与施工关键技术、配套产品开发、质量检测与控制技术以及建筑信息模型（</w:t>
      </w:r>
      <w:r>
        <w:rPr>
          <w:rFonts w:ascii="Arial" w:hAnsi="Arial" w:cs="Arial"/>
          <w:color w:val="191919"/>
          <w:bdr w:val="none" w:sz="0" w:space="0" w:color="auto" w:frame="1"/>
        </w:rPr>
        <w:t>BIM</w:t>
      </w:r>
      <w:r>
        <w:rPr>
          <w:rFonts w:ascii="Arial" w:hAnsi="Arial" w:cs="Arial"/>
          <w:color w:val="191919"/>
          <w:bdr w:val="none" w:sz="0" w:space="0" w:color="auto" w:frame="1"/>
        </w:rPr>
        <w:t>）和物联网技术应用等。支持有关行业协会和企业参与地方标准制订，鼓励制订企业和团体标准，逐步建立完善覆盖设计、生产、施工、验收和使用维护全过程的装配式建筑技术标准体系，加快形成装配式混凝土建筑、钢</w:t>
      </w:r>
      <w:r>
        <w:rPr>
          <w:rFonts w:ascii="Arial" w:hAnsi="Arial" w:cs="Arial"/>
          <w:color w:val="191919"/>
          <w:bdr w:val="none" w:sz="0" w:space="0" w:color="auto" w:frame="1"/>
        </w:rPr>
        <w:t>—</w:t>
      </w:r>
      <w:r>
        <w:rPr>
          <w:rFonts w:ascii="Arial" w:hAnsi="Arial" w:cs="Arial"/>
          <w:color w:val="191919"/>
          <w:bdr w:val="none" w:sz="0" w:space="0" w:color="auto" w:frame="1"/>
        </w:rPr>
        <w:t>混凝土组合结构、免模装配一体化混凝土结构及装配式钢结构等具有地方特色的多元化技术体系。制订发布装配式预制构配件及部品部件市场参考价格，完善装配式建设工程造价计价办法。</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（四）创新装配式建筑设计。</w:t>
      </w:r>
      <w:r>
        <w:rPr>
          <w:rFonts w:ascii="Arial" w:hAnsi="Arial" w:cs="Arial"/>
          <w:color w:val="191919"/>
          <w:bdr w:val="none" w:sz="0" w:space="0" w:color="auto" w:frame="1"/>
        </w:rPr>
        <w:t>推行通用化、模数化、标准化设计方式，统筹建筑结构、机电设备、装配施工、装饰装修，实现装配式建筑一体化集成设计。形成多样性的户型种类及平面组合形式，满足消费者的个性化需求。积极应用建筑信息模型（</w:t>
      </w:r>
      <w:r>
        <w:rPr>
          <w:rFonts w:ascii="Arial" w:hAnsi="Arial" w:cs="Arial"/>
          <w:color w:val="191919"/>
          <w:bdr w:val="none" w:sz="0" w:space="0" w:color="auto" w:frame="1"/>
        </w:rPr>
        <w:t>BIM</w:t>
      </w:r>
      <w:r>
        <w:rPr>
          <w:rFonts w:ascii="Arial" w:hAnsi="Arial" w:cs="Arial"/>
          <w:color w:val="191919"/>
          <w:bdr w:val="none" w:sz="0" w:space="0" w:color="auto" w:frame="1"/>
        </w:rPr>
        <w:t>）等信息技术，提高建筑领域各专业协同设计能力，加强对装配式建筑建设全过程的指导和服务。</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（五）促进部品部件生产应用。</w:t>
      </w:r>
      <w:r>
        <w:rPr>
          <w:rFonts w:ascii="Arial" w:hAnsi="Arial" w:cs="Arial"/>
          <w:color w:val="191919"/>
          <w:bdr w:val="none" w:sz="0" w:space="0" w:color="auto" w:frame="1"/>
        </w:rPr>
        <w:t>鼓励有条件的企业建设集科研、制造、示范和人才培养于一体的装配式建筑综合示范基地。引导建筑行业部品部件生产企业合理布局，培育一批技术先进、专业配套、管理规范的骨干企业和生产基地。建立部品部件质量验收机制，确保产品质量。在政府投资的</w:t>
      </w:r>
      <w:r>
        <w:rPr>
          <w:rFonts w:ascii="Arial" w:hAnsi="Arial" w:cs="Arial"/>
          <w:color w:val="191919"/>
          <w:bdr w:val="none" w:sz="0" w:space="0" w:color="auto" w:frame="1"/>
        </w:rPr>
        <w:lastRenderedPageBreak/>
        <w:t>人才住房、保障性住房等工程中大力推广应用平面单元可灵活组合的标准化图集，促进部品部件生产企业完善产品类型和规格。在市政基础设施工程中推广使用精度高、耐久性好的预制部品部件。</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（六）提升装配施工水平。</w:t>
      </w:r>
      <w:r>
        <w:rPr>
          <w:rFonts w:ascii="Arial" w:hAnsi="Arial" w:cs="Arial"/>
          <w:color w:val="191919"/>
          <w:bdr w:val="none" w:sz="0" w:space="0" w:color="auto" w:frame="1"/>
        </w:rPr>
        <w:t>引导企业建立精细化施工管理制度体系，研发应用与装配式施工相适应的技术、设备和机具，提高部品部件的装配施工质量和建筑安全性能。鼓励企业创新施工组织方式，推广应用铝合金模板等新型模板，全面推行绿色施工。支持施工企业总结形成施工工法，提高装配施工技能，实现技术工艺、组织管理的转变，打造一批具有较高装配施工技术水平的骨干企业和技能队伍。</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（七）推进建筑全装修。</w:t>
      </w:r>
      <w:r>
        <w:rPr>
          <w:rFonts w:ascii="Arial" w:hAnsi="Arial" w:cs="Arial"/>
          <w:color w:val="191919"/>
          <w:bdr w:val="none" w:sz="0" w:space="0" w:color="auto" w:frame="1"/>
        </w:rPr>
        <w:t>实行装配式建筑装饰装修与主体结构、机电设备协同施工。积极推广标准化、集成化、模块化、工厂化的装修模式，促进集成式厨房、集成式卫生间、预制内隔墙等装修装饰部品和设备管线集成技术的应用，提高装配化装修水平。倡导菜单式全装修，满足消费者个性化需求。</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（八）推广绿色建材。</w:t>
      </w:r>
      <w:r>
        <w:rPr>
          <w:rFonts w:ascii="Arial" w:hAnsi="Arial" w:cs="Arial"/>
          <w:color w:val="191919"/>
          <w:bdr w:val="none" w:sz="0" w:space="0" w:color="auto" w:frame="1"/>
        </w:rPr>
        <w:t>推广应用适用于装配式建筑的品质优良、节能环保、功能良好的新型建筑材料，推广应用高性能节能门窗，鼓励装饰与保温隔热防水材料一体化应用，大力发展轻质、高强、保温、防火与建筑同寿命的多功能一</w:t>
      </w:r>
      <w:r>
        <w:rPr>
          <w:rFonts w:ascii="Arial" w:hAnsi="Arial" w:cs="Arial"/>
          <w:color w:val="191919"/>
          <w:bdr w:val="none" w:sz="0" w:space="0" w:color="auto" w:frame="1"/>
        </w:rPr>
        <w:lastRenderedPageBreak/>
        <w:t>体化装配式墙材。严禁使用不符合节能环保要求、质量性能差的建筑材料。</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（九）推行工程总承包模式。</w:t>
      </w:r>
      <w:r>
        <w:rPr>
          <w:rFonts w:ascii="Arial" w:hAnsi="Arial" w:cs="Arial"/>
          <w:color w:val="191919"/>
          <w:bdr w:val="none" w:sz="0" w:space="0" w:color="auto" w:frame="1"/>
        </w:rPr>
        <w:t>建立符合法定条件的装配式建筑类专家库，修订完善适用工程总承包模式的招标评标管理工作细则，依法依规开展招标投标监管工作。工程总承包企业要对工程质量、安全、进度、造价等负总责。健全与装配式建筑总承包相适应的发包承包、施工许可、分包管理、工程造价、质量安全监管、竣工验收等制度，实现工程设计、部品部件生产、采购及施工的统一管理和深度融合，优化项目管理方式。支持有条件的设计、施工和部品部件生产企业通过调整组织架构、健全管理体系，向具有工程管理、设计、施工、生产、采购能力的工程总承包企业转型。</w:t>
      </w:r>
    </w:p>
    <w:p w:rsidR="00C330EB" w:rsidRPr="00E56E7C" w:rsidRDefault="007574E0" w:rsidP="00E56E7C">
      <w:pPr>
        <w:pStyle w:val="ae"/>
        <w:ind w:firstLine="643"/>
        <w:rPr>
          <w:rStyle w:val="a6"/>
          <w:rFonts w:ascii="Arial" w:hAnsi="Arial" w:cs="Arial"/>
          <w:b w:val="0"/>
          <w:bCs w:val="0"/>
          <w:color w:val="191919"/>
        </w:rPr>
      </w:pPr>
      <w:r>
        <w:rPr>
          <w:rStyle w:val="a6"/>
          <w:rFonts w:ascii="Arial" w:hAnsi="Arial" w:cs="Arial"/>
          <w:color w:val="191919"/>
          <w:bdr w:val="none" w:sz="0" w:space="0" w:color="auto" w:frame="1"/>
        </w:rPr>
        <w:t>（十）加强工程质量安全管理。</w:t>
      </w:r>
      <w:r>
        <w:rPr>
          <w:rFonts w:ascii="Arial" w:hAnsi="Arial" w:cs="Arial"/>
          <w:color w:val="191919"/>
          <w:bdr w:val="none" w:sz="0" w:space="0" w:color="auto" w:frame="1"/>
        </w:rPr>
        <w:t>建立装配式建筑工程质量安全管理制度，健全质量安全责任体系，落实参建各方主体质量安全责任。加强全过程监管，建设和监理等相关方可采用驻厂监造或质量保证体系认证等方式加强部品部件生产质量管控；施工企业要加强施工过程质量安全控制和检验检测，完善装配施工质量保证体系；在建筑物明显部位设置永久性标牌，公示质量安全责任主体和主要责任人。建立全过程质量追溯制度，严肃查处质量安全违法违规行为。</w:t>
      </w:r>
    </w:p>
    <w:p w:rsidR="007574E0" w:rsidRDefault="007574E0" w:rsidP="00AB4B3B">
      <w:pPr>
        <w:pStyle w:val="2"/>
        <w:ind w:firstLine="643"/>
        <w:outlineLvl w:val="0"/>
      </w:pPr>
      <w:r>
        <w:rPr>
          <w:rStyle w:val="a6"/>
          <w:rFonts w:ascii="Arial" w:hAnsi="Arial" w:cs="Arial"/>
          <w:color w:val="191919"/>
          <w:bdr w:val="none" w:sz="0" w:space="0" w:color="auto" w:frame="1"/>
        </w:rPr>
        <w:t>三、政策扶持</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lastRenderedPageBreak/>
        <w:t>（一）强化规划引领。</w:t>
      </w:r>
      <w:r>
        <w:rPr>
          <w:rFonts w:ascii="Arial" w:hAnsi="Arial" w:cs="Arial"/>
          <w:color w:val="191919"/>
          <w:bdr w:val="none" w:sz="0" w:space="0" w:color="auto" w:frame="1"/>
        </w:rPr>
        <w:t>按照我市装配式建筑的发展目标要求，编制装配式建筑专项规划，明确实施装配式建筑的面积比例要求等指标，并在编制或修改控制性详细规划时纳入，在规划审批环节加强把关。城市更新主管部门在制订</w:t>
      </w:r>
      <w:r>
        <w:rPr>
          <w:rFonts w:ascii="Arial" w:hAnsi="Arial" w:cs="Arial"/>
          <w:color w:val="191919"/>
          <w:bdr w:val="none" w:sz="0" w:space="0" w:color="auto" w:frame="1"/>
        </w:rPr>
        <w:t>“</w:t>
      </w:r>
      <w:r>
        <w:rPr>
          <w:rFonts w:ascii="Arial" w:hAnsi="Arial" w:cs="Arial"/>
          <w:color w:val="191919"/>
          <w:bdr w:val="none" w:sz="0" w:space="0" w:color="auto" w:frame="1"/>
        </w:rPr>
        <w:t>三旧</w:t>
      </w:r>
      <w:r>
        <w:rPr>
          <w:rFonts w:ascii="Arial" w:hAnsi="Arial" w:cs="Arial"/>
          <w:color w:val="191919"/>
          <w:bdr w:val="none" w:sz="0" w:space="0" w:color="auto" w:frame="1"/>
        </w:rPr>
        <w:t>”</w:t>
      </w:r>
      <w:r>
        <w:rPr>
          <w:rFonts w:ascii="Arial" w:hAnsi="Arial" w:cs="Arial"/>
          <w:color w:val="191919"/>
          <w:bdr w:val="none" w:sz="0" w:space="0" w:color="auto" w:frame="1"/>
        </w:rPr>
        <w:t>改造、城市更新规划及年度实施计划时，要将装配式建筑专项规划的内容或发展装配式建筑的有关要求纳入相关规划计划中。</w:t>
      </w:r>
    </w:p>
    <w:p w:rsidR="007574E0" w:rsidRPr="00E56E7C" w:rsidRDefault="007574E0" w:rsidP="00E56E7C">
      <w:pPr>
        <w:pStyle w:val="ae"/>
        <w:ind w:firstLine="643"/>
        <w:rPr>
          <w:rFonts w:ascii="Arial" w:hAnsi="Arial" w:cs="Arial"/>
        </w:rPr>
      </w:pPr>
      <w:r>
        <w:rPr>
          <w:rStyle w:val="a6"/>
          <w:rFonts w:ascii="Arial" w:hAnsi="Arial" w:cs="Arial"/>
          <w:color w:val="191919"/>
          <w:bdr w:val="none" w:sz="0" w:space="0" w:color="auto" w:frame="1"/>
        </w:rPr>
        <w:t>（二）落实用地保障。</w:t>
      </w:r>
      <w:r>
        <w:rPr>
          <w:rFonts w:ascii="Arial" w:hAnsi="Arial" w:cs="Arial"/>
          <w:color w:val="191919"/>
          <w:bdr w:val="none" w:sz="0" w:space="0" w:color="auto" w:frame="1"/>
        </w:rPr>
        <w:t>2018</w:t>
      </w:r>
      <w:r>
        <w:rPr>
          <w:rFonts w:ascii="Arial" w:hAnsi="Arial" w:cs="Arial"/>
          <w:color w:val="191919"/>
          <w:bdr w:val="none" w:sz="0" w:space="0" w:color="auto" w:frame="1"/>
        </w:rPr>
        <w:t>年起，以招拍挂方式出让的建筑工程建设用地，将采用装配式建筑的相关要求纳入土地出让公告，并落实到土地使用合同中，满足装配式建筑面积占全市年度新出让用地总建筑面积比例不低于</w:t>
      </w:r>
      <w:r>
        <w:rPr>
          <w:rFonts w:ascii="Arial" w:hAnsi="Arial" w:cs="Arial"/>
          <w:color w:val="191919"/>
          <w:bdr w:val="none" w:sz="0" w:space="0" w:color="auto" w:frame="1"/>
        </w:rPr>
        <w:t>30</w:t>
      </w:r>
      <w:r>
        <w:rPr>
          <w:rFonts w:ascii="Arial" w:hAnsi="Arial" w:cs="Arial"/>
          <w:color w:val="191919"/>
          <w:bdr w:val="none" w:sz="0" w:space="0" w:color="auto" w:frame="1"/>
        </w:rPr>
        <w:t>％的要求；</w:t>
      </w:r>
      <w:r>
        <w:rPr>
          <w:rFonts w:ascii="Arial" w:hAnsi="Arial" w:cs="Arial"/>
          <w:color w:val="191919"/>
          <w:bdr w:val="none" w:sz="0" w:space="0" w:color="auto" w:frame="1"/>
        </w:rPr>
        <w:t>2020</w:t>
      </w:r>
      <w:r>
        <w:rPr>
          <w:rFonts w:ascii="Arial" w:hAnsi="Arial" w:cs="Arial"/>
          <w:color w:val="191919"/>
          <w:bdr w:val="none" w:sz="0" w:space="0" w:color="auto" w:frame="1"/>
        </w:rPr>
        <w:t>年起，装配式建筑面积占全市年度新出让用地总建筑面积比例不低于</w:t>
      </w:r>
      <w:r>
        <w:rPr>
          <w:rFonts w:ascii="Arial" w:hAnsi="Arial" w:cs="Arial"/>
          <w:color w:val="191919"/>
          <w:bdr w:val="none" w:sz="0" w:space="0" w:color="auto" w:frame="1"/>
        </w:rPr>
        <w:t>50</w:t>
      </w:r>
      <w:r>
        <w:rPr>
          <w:rFonts w:ascii="Arial" w:hAnsi="Arial" w:cs="Arial"/>
          <w:color w:val="191919"/>
          <w:bdr w:val="none" w:sz="0" w:space="0" w:color="auto" w:frame="1"/>
        </w:rPr>
        <w:t>％。对未要求实施装配式建筑的地块，应在土地出让前核发</w:t>
      </w:r>
      <w:r w:rsidRPr="00E56E7C">
        <w:rPr>
          <w:rFonts w:ascii="Arial" w:hAnsi="Arial" w:cs="Arial"/>
          <w:bdr w:val="none" w:sz="0" w:space="0" w:color="auto" w:frame="1"/>
        </w:rPr>
        <w:t>地块规划条件环节明确自愿实施装配式建筑的奖励条款或要求。对自愿实施装配式建筑的新建项目，给予预制外墙或叠合外墙预制部分不计入建筑面积的奖励（奖励的建筑面积不超过</w:t>
      </w:r>
      <w:r w:rsidRPr="00E56E7C">
        <w:rPr>
          <w:rFonts w:ascii="Arial" w:hAnsi="Arial" w:cs="Arial"/>
          <w:bdr w:val="none" w:sz="0" w:space="0" w:color="auto" w:frame="1"/>
        </w:rPr>
        <w:t>±0.000</w:t>
      </w:r>
      <w:r w:rsidRPr="00E56E7C">
        <w:rPr>
          <w:rFonts w:ascii="Arial" w:hAnsi="Arial" w:cs="Arial"/>
          <w:bdr w:val="none" w:sz="0" w:space="0" w:color="auto" w:frame="1"/>
        </w:rPr>
        <w:t>以上计容建筑面积的</w:t>
      </w:r>
      <w:r w:rsidRPr="00E56E7C">
        <w:rPr>
          <w:rFonts w:ascii="Arial" w:hAnsi="Arial" w:cs="Arial"/>
          <w:bdr w:val="none" w:sz="0" w:space="0" w:color="auto" w:frame="1"/>
        </w:rPr>
        <w:t>3</w:t>
      </w:r>
      <w:r w:rsidRPr="00E56E7C">
        <w:rPr>
          <w:rFonts w:ascii="Arial" w:hAnsi="Arial" w:cs="Arial"/>
          <w:bdr w:val="none" w:sz="0" w:space="0" w:color="auto" w:frame="1"/>
        </w:rPr>
        <w:t>％），具体奖励比例在建设工程规划许可文件中明确。在土地利用总体规划和年度建设用地计划中，优先安排部品部件生产企业、生产基地用地。</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（三）加强立项管理。</w:t>
      </w:r>
      <w:r>
        <w:rPr>
          <w:rFonts w:ascii="Arial" w:hAnsi="Arial" w:cs="Arial"/>
          <w:color w:val="191919"/>
          <w:bdr w:val="none" w:sz="0" w:space="0" w:color="auto" w:frame="1"/>
        </w:rPr>
        <w:t>政府投资大中型建筑工程在编制项目建议书、可行性研究报告时应包括实施装配式建筑的有</w:t>
      </w:r>
      <w:r>
        <w:rPr>
          <w:rFonts w:ascii="Arial" w:hAnsi="Arial" w:cs="Arial"/>
          <w:color w:val="191919"/>
          <w:bdr w:val="none" w:sz="0" w:space="0" w:color="auto" w:frame="1"/>
        </w:rPr>
        <w:lastRenderedPageBreak/>
        <w:t>关内容，将相关建设成本列入工程估算。投资主管部门要加强相关内容的审查。</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（四）加强财政支持。</w:t>
      </w:r>
      <w:r>
        <w:rPr>
          <w:rFonts w:ascii="Arial" w:hAnsi="Arial" w:cs="Arial"/>
          <w:color w:val="191919"/>
          <w:bdr w:val="none" w:sz="0" w:space="0" w:color="auto" w:frame="1"/>
        </w:rPr>
        <w:t>政府投资大中型建筑工程在编制概算文件时，应依据设计文件等计算装配式建筑的相关建设成本，财政主管部门要加强对相关内容的审查。对</w:t>
      </w:r>
      <w:r>
        <w:rPr>
          <w:rFonts w:ascii="Arial" w:hAnsi="Arial" w:cs="Arial"/>
          <w:color w:val="191919"/>
          <w:bdr w:val="none" w:sz="0" w:space="0" w:color="auto" w:frame="1"/>
        </w:rPr>
        <w:t>2017</w:t>
      </w:r>
      <w:r>
        <w:rPr>
          <w:rFonts w:ascii="Arial" w:hAnsi="Arial" w:cs="Arial"/>
          <w:color w:val="191919"/>
          <w:bdr w:val="none" w:sz="0" w:space="0" w:color="auto" w:frame="1"/>
        </w:rPr>
        <w:t>年以来开工建设，总建筑面积达到</w:t>
      </w:r>
      <w:r>
        <w:rPr>
          <w:rFonts w:ascii="Arial" w:hAnsi="Arial" w:cs="Arial"/>
          <w:color w:val="191919"/>
          <w:bdr w:val="none" w:sz="0" w:space="0" w:color="auto" w:frame="1"/>
        </w:rPr>
        <w:t>3</w:t>
      </w:r>
      <w:r>
        <w:rPr>
          <w:rFonts w:ascii="Arial" w:hAnsi="Arial" w:cs="Arial"/>
          <w:color w:val="191919"/>
          <w:bdr w:val="none" w:sz="0" w:space="0" w:color="auto" w:frame="1"/>
        </w:rPr>
        <w:t>万平方米以上，且预制率、装配率较高的装配式建筑工程（政府投资项目除外），财政给予扶持，具体扶持办法由市相关部门另行研究制定。</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（五）加大科技扶持。</w:t>
      </w:r>
      <w:r>
        <w:rPr>
          <w:rFonts w:ascii="Arial" w:hAnsi="Arial" w:cs="Arial"/>
          <w:color w:val="191919"/>
          <w:bdr w:val="none" w:sz="0" w:space="0" w:color="auto" w:frame="1"/>
        </w:rPr>
        <w:t>加大科技专项资金扶持力度，市科技计划对符合要求、纳入立项支持的装配式建筑项目或单位给予专项资金支持，重点围绕技术研究、关键技术攻关、工程示范应用等，加快研发核心技术和产品，不断提升我市自主攻关和研发能力，为装配式建筑实现规模化、高效益和可持续发展提供科技支撑。</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（六）落实税收金融优惠。</w:t>
      </w:r>
      <w:r>
        <w:rPr>
          <w:rFonts w:ascii="Arial" w:hAnsi="Arial" w:cs="Arial"/>
          <w:color w:val="191919"/>
          <w:bdr w:val="none" w:sz="0" w:space="0" w:color="auto" w:frame="1"/>
        </w:rPr>
        <w:t>将装配式建筑产业纳入招商引资重点行业，经认定为高新技术企业的装配式建筑相关企业，可依法享受相关优惠政策。购买已认定为装配式建筑项目的商品房，商业贷款、公积金贷款首付比例按政策允许范围内最低首付比例执行，公积金贷款额度可视情况上浮。鼓励金融机构对部品部件生产企业、产业基地和装配式建筑开发项目给予信贷额度、利率等方面的优惠和支持。</w:t>
      </w:r>
    </w:p>
    <w:p w:rsidR="00C330EB" w:rsidRPr="00E56E7C" w:rsidRDefault="007574E0" w:rsidP="00E56E7C">
      <w:pPr>
        <w:pStyle w:val="ae"/>
        <w:ind w:firstLine="643"/>
        <w:rPr>
          <w:rFonts w:ascii="Arial" w:hAnsi="Arial" w:cs="Arial"/>
          <w:color w:val="191919"/>
          <w:bdr w:val="none" w:sz="0" w:space="0" w:color="auto" w:frame="1"/>
        </w:rPr>
      </w:pPr>
      <w:r>
        <w:rPr>
          <w:rStyle w:val="a6"/>
          <w:rFonts w:ascii="Arial" w:hAnsi="Arial" w:cs="Arial"/>
          <w:color w:val="191919"/>
          <w:bdr w:val="none" w:sz="0" w:space="0" w:color="auto" w:frame="1"/>
        </w:rPr>
        <w:lastRenderedPageBreak/>
        <w:t>（七）保障运输通畅。</w:t>
      </w:r>
      <w:r>
        <w:rPr>
          <w:rFonts w:ascii="Arial" w:hAnsi="Arial" w:cs="Arial"/>
          <w:color w:val="191919"/>
          <w:bdr w:val="none" w:sz="0" w:space="0" w:color="auto" w:frame="1"/>
        </w:rPr>
        <w:t>针对运输预制混凝土构件及钢构件等超大、超宽部品部件的运输车辆，交通运输主管部门、公安交通管理部门在所辖区域或职能范围内，在物流运输、交通通畅方面予以支持。</w:t>
      </w:r>
    </w:p>
    <w:p w:rsidR="007574E0" w:rsidRDefault="007574E0" w:rsidP="00AB4B3B">
      <w:pPr>
        <w:pStyle w:val="2"/>
        <w:ind w:firstLine="643"/>
        <w:outlineLvl w:val="0"/>
      </w:pPr>
      <w:r>
        <w:rPr>
          <w:rStyle w:val="a6"/>
          <w:rFonts w:ascii="Arial" w:hAnsi="Arial" w:cs="Arial"/>
          <w:color w:val="191919"/>
          <w:bdr w:val="none" w:sz="0" w:space="0" w:color="auto" w:frame="1"/>
        </w:rPr>
        <w:t>四、保障措施</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（一）加强组织领导。</w:t>
      </w:r>
      <w:r>
        <w:rPr>
          <w:rFonts w:ascii="Arial" w:hAnsi="Arial" w:cs="Arial"/>
          <w:color w:val="191919"/>
          <w:bdr w:val="none" w:sz="0" w:space="0" w:color="auto" w:frame="1"/>
        </w:rPr>
        <w:t>建立广州市装配式建筑工作联席会议制度，召集人由市政府分管副市长兼任；成员单位包括各区政府和市发展改革委、工业和信息化委、教育局、科技创新委、公安局、财政局、人力资源和社会保障局、国土规划委、环保局、住房城乡建设委、交委、国资委、质监局、金融局、城市更新局、国税局、地税局及广州住房公积金管理中心等部门。联席会议办公室设在市住房城乡建设委，负责联席会议日常工作，办公室主任由市住房城乡建设委主任兼任。各区人民政府要建立健全工作机制，完善配套政策，组织具体实施，确保各项任务落到实处。政府相关部门要积极制定政策措施，引导和支持社会资本发展装配式建筑。</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（二）优化监管服务。</w:t>
      </w:r>
      <w:r>
        <w:rPr>
          <w:rFonts w:ascii="Arial" w:hAnsi="Arial" w:cs="Arial"/>
          <w:color w:val="191919"/>
          <w:bdr w:val="none" w:sz="0" w:space="0" w:color="auto" w:frame="1"/>
        </w:rPr>
        <w:t>实施装配式建筑的项目可纳入广州市重点项目管理，加快办理相关报批手续。在立项、规划设计、部品部件生产、施工、监理、竣工验收等建设环节加强监管。对实施装配式建筑的项目，按照国家或地方装配式建筑评价标准要求，在施工图设计及审查阶段进行预评价，在竣工验收阶段进行项目评价。</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lastRenderedPageBreak/>
        <w:t>（三）开展监督考核。</w:t>
      </w:r>
      <w:r>
        <w:rPr>
          <w:rFonts w:ascii="Arial" w:hAnsi="Arial" w:cs="Arial"/>
          <w:color w:val="191919"/>
          <w:bdr w:val="none" w:sz="0" w:space="0" w:color="auto" w:frame="1"/>
        </w:rPr>
        <w:t>2018</w:t>
      </w:r>
      <w:r>
        <w:rPr>
          <w:rFonts w:ascii="Arial" w:hAnsi="Arial" w:cs="Arial"/>
          <w:color w:val="191919"/>
          <w:bdr w:val="none" w:sz="0" w:space="0" w:color="auto" w:frame="1"/>
        </w:rPr>
        <w:t>年起，各区政府及市住房保障办、市代建局、广州地铁集团、市城投集团等应将本地区、本单位装配式建筑年度计划及实施方案于</w:t>
      </w:r>
      <w:r>
        <w:rPr>
          <w:rFonts w:ascii="Arial" w:hAnsi="Arial" w:cs="Arial"/>
          <w:color w:val="191919"/>
          <w:bdr w:val="none" w:sz="0" w:space="0" w:color="auto" w:frame="1"/>
        </w:rPr>
        <w:t>3</w:t>
      </w:r>
      <w:r>
        <w:rPr>
          <w:rFonts w:ascii="Arial" w:hAnsi="Arial" w:cs="Arial"/>
          <w:color w:val="191919"/>
          <w:bdr w:val="none" w:sz="0" w:space="0" w:color="auto" w:frame="1"/>
        </w:rPr>
        <w:t>月份以前报联席会议办公室。联席会议办公室组织开展装配式建筑工作情况考核，定期通报考核结果。</w:t>
      </w:r>
    </w:p>
    <w:p w:rsidR="007574E0" w:rsidRDefault="007574E0" w:rsidP="00E56E7C">
      <w:pPr>
        <w:pStyle w:val="ae"/>
        <w:ind w:firstLine="643"/>
        <w:rPr>
          <w:rFonts w:ascii="Arial" w:hAnsi="Arial" w:cs="Arial"/>
          <w:color w:val="191919"/>
        </w:rPr>
      </w:pPr>
      <w:r>
        <w:rPr>
          <w:rStyle w:val="a6"/>
          <w:rFonts w:ascii="Arial" w:hAnsi="Arial" w:cs="Arial"/>
          <w:color w:val="191919"/>
          <w:bdr w:val="none" w:sz="0" w:space="0" w:color="auto" w:frame="1"/>
        </w:rPr>
        <w:t>（四）强化队伍建设。</w:t>
      </w:r>
      <w:r>
        <w:rPr>
          <w:rFonts w:ascii="Arial" w:hAnsi="Arial" w:cs="Arial"/>
          <w:color w:val="191919"/>
          <w:bdr w:val="none" w:sz="0" w:space="0" w:color="auto" w:frame="1"/>
        </w:rPr>
        <w:t>大力培养装配式建筑设计、生产、施工、管理等专业人才。鼓励高等学校、职业学校设置装配式建筑相关课程，推动装配式建筑企业开展校企合作，创新人才培养模式，为建筑行业提供技能人才支撑。在建筑行业专业技术人员继续教育中增加装配式建筑相关内容。推进建筑产业工人队伍建设，加大职业技能培训资金投入，建立培训基地，加强岗位技能提升培训，促进建筑业农民工向建筑产业工人转型。</w:t>
      </w:r>
    </w:p>
    <w:p w:rsidR="00C330EB" w:rsidRPr="00E56E7C" w:rsidRDefault="007574E0" w:rsidP="00E56E7C">
      <w:pPr>
        <w:pStyle w:val="ae"/>
        <w:ind w:firstLine="643"/>
        <w:rPr>
          <w:rFonts w:ascii="Arial" w:hAnsi="Arial" w:cs="Arial"/>
          <w:color w:val="191919"/>
          <w:bdr w:val="none" w:sz="0" w:space="0" w:color="auto" w:frame="1"/>
        </w:rPr>
      </w:pPr>
      <w:r>
        <w:rPr>
          <w:rStyle w:val="a6"/>
          <w:rFonts w:ascii="Arial" w:hAnsi="Arial" w:cs="Arial"/>
          <w:color w:val="191919"/>
          <w:bdr w:val="none" w:sz="0" w:space="0" w:color="auto" w:frame="1"/>
        </w:rPr>
        <w:t>（五）做好宣传引导。</w:t>
      </w:r>
      <w:r>
        <w:rPr>
          <w:rFonts w:ascii="Arial" w:hAnsi="Arial" w:cs="Arial"/>
          <w:color w:val="191919"/>
          <w:bdr w:val="none" w:sz="0" w:space="0" w:color="auto" w:frame="1"/>
        </w:rPr>
        <w:t>通过多种形式深入宣传发展装配式建筑的经济效益和社会效益，广泛宣传装配式建筑相关知识和发展政策，提高社会认知度，营造各方共同关注、支持装配式建筑发展的良好氛围，促进相关产业和市场健康有序发展。</w:t>
      </w:r>
    </w:p>
    <w:p w:rsidR="007574E0" w:rsidRPr="00E56E7C" w:rsidRDefault="007574E0" w:rsidP="00E56E7C">
      <w:pPr>
        <w:pStyle w:val="ae"/>
        <w:ind w:firstLine="640"/>
        <w:rPr>
          <w:rFonts w:ascii="Arial" w:hAnsi="Arial" w:cs="Arial"/>
          <w:color w:val="191919"/>
          <w:bdr w:val="none" w:sz="0" w:space="0" w:color="auto" w:frame="1"/>
        </w:rPr>
      </w:pPr>
      <w:r>
        <w:rPr>
          <w:rFonts w:ascii="Arial" w:hAnsi="Arial" w:cs="Arial"/>
          <w:color w:val="191919"/>
          <w:bdr w:val="none" w:sz="0" w:space="0" w:color="auto" w:frame="1"/>
        </w:rPr>
        <w:t>附件：重点工作任务分工表</w:t>
      </w:r>
    </w:p>
    <w:p w:rsidR="007574E0" w:rsidRDefault="007574E0" w:rsidP="00E56E7C">
      <w:pPr>
        <w:pStyle w:val="aa"/>
        <w:ind w:firstLine="640"/>
      </w:pPr>
      <w:r>
        <w:rPr>
          <w:bdr w:val="none" w:sz="0" w:space="0" w:color="auto" w:frame="1"/>
        </w:rPr>
        <w:t>广州市人民政府办公厅</w:t>
      </w:r>
    </w:p>
    <w:p w:rsidR="007574E0" w:rsidRDefault="007574E0" w:rsidP="00E56E7C">
      <w:pPr>
        <w:pStyle w:val="aa"/>
        <w:ind w:firstLine="640"/>
      </w:pPr>
      <w:r>
        <w:rPr>
          <w:bdr w:val="none" w:sz="0" w:space="0" w:color="auto" w:frame="1"/>
        </w:rPr>
        <w:t>2017年9月6日</w:t>
      </w:r>
    </w:p>
    <w:p w:rsidR="00C330EB" w:rsidRDefault="00C330EB">
      <w:pPr>
        <w:widowControl/>
        <w:jc w:val="left"/>
      </w:pPr>
    </w:p>
    <w:p w:rsidR="00C330EB" w:rsidRDefault="00C330EB" w:rsidP="00E56E7C">
      <w:pPr>
        <w:pStyle w:val="ac"/>
      </w:pPr>
      <w:r>
        <w:rPr>
          <w:rStyle w:val="a6"/>
          <w:rFonts w:ascii="Arial" w:hAnsi="Arial" w:cs="Arial"/>
          <w:color w:val="191919"/>
          <w:sz w:val="30"/>
          <w:szCs w:val="30"/>
          <w:bdr w:val="none" w:sz="0" w:space="0" w:color="auto" w:frame="1"/>
        </w:rPr>
        <w:t>附件</w:t>
      </w:r>
    </w:p>
    <w:p w:rsidR="00C330EB" w:rsidRDefault="00C330EB" w:rsidP="00E56E7C">
      <w:pPr>
        <w:pStyle w:val="a8"/>
      </w:pPr>
      <w:r>
        <w:rPr>
          <w:rStyle w:val="a6"/>
          <w:rFonts w:ascii="Arial" w:hAnsi="Arial" w:cs="Arial"/>
          <w:color w:val="191919"/>
          <w:bdr w:val="none" w:sz="0" w:space="0" w:color="auto" w:frame="1"/>
        </w:rPr>
        <w:t>重点工作任务分工表</w:t>
      </w:r>
      <w:bookmarkStart w:id="0" w:name="_GoBack"/>
      <w:bookmarkEnd w:id="0"/>
    </w:p>
    <w:p w:rsidR="008D3026" w:rsidRDefault="00C330EB">
      <w:r>
        <w:rPr>
          <w:noProof/>
        </w:rPr>
        <w:drawing>
          <wp:inline distT="0" distB="0" distL="0" distR="0">
            <wp:extent cx="5482590" cy="6739255"/>
            <wp:effectExtent l="19050" t="0" r="3810" b="0"/>
            <wp:docPr id="2" name="图片 2" descr="D:\Users\ZGB-91\Desktop\25ddbd143af940d4a41c957238fee99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ZGB-91\Desktop\25ddbd143af940d4a41c957238fee99c.jpeg"/>
                    <pic:cNvPicPr>
                      <a:picLocks noChangeAspect="1" noChangeArrowheads="1"/>
                    </pic:cNvPicPr>
                  </pic:nvPicPr>
                  <pic:blipFill>
                    <a:blip r:embed="rId6"/>
                    <a:srcRect/>
                    <a:stretch>
                      <a:fillRect/>
                    </a:stretch>
                  </pic:blipFill>
                  <pic:spPr bwMode="auto">
                    <a:xfrm>
                      <a:off x="0" y="0"/>
                      <a:ext cx="5482590" cy="6739255"/>
                    </a:xfrm>
                    <a:prstGeom prst="rect">
                      <a:avLst/>
                    </a:prstGeom>
                    <a:noFill/>
                    <a:ln w="9525">
                      <a:noFill/>
                      <a:miter lim="800000"/>
                      <a:headEnd/>
                      <a:tailEnd/>
                    </a:ln>
                  </pic:spPr>
                </pic:pic>
              </a:graphicData>
            </a:graphic>
          </wp:inline>
        </w:drawing>
      </w:r>
    </w:p>
    <w:p w:rsidR="00C330EB" w:rsidRDefault="00C330EB">
      <w:r>
        <w:rPr>
          <w:noProof/>
        </w:rPr>
        <w:lastRenderedPageBreak/>
        <w:drawing>
          <wp:inline distT="0" distB="0" distL="0" distR="0">
            <wp:extent cx="5482590" cy="7673340"/>
            <wp:effectExtent l="19050" t="0" r="3810" b="0"/>
            <wp:docPr id="4" name="图片 4" descr="D:\Users\ZGB-91\Desktop\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ZGB-91\Desktop\2.jpeg"/>
                    <pic:cNvPicPr>
                      <a:picLocks noChangeAspect="1" noChangeArrowheads="1"/>
                    </pic:cNvPicPr>
                  </pic:nvPicPr>
                  <pic:blipFill>
                    <a:blip r:embed="rId7"/>
                    <a:srcRect/>
                    <a:stretch>
                      <a:fillRect/>
                    </a:stretch>
                  </pic:blipFill>
                  <pic:spPr bwMode="auto">
                    <a:xfrm>
                      <a:off x="0" y="0"/>
                      <a:ext cx="5482590" cy="7673340"/>
                    </a:xfrm>
                    <a:prstGeom prst="rect">
                      <a:avLst/>
                    </a:prstGeom>
                    <a:noFill/>
                    <a:ln w="9525">
                      <a:noFill/>
                      <a:miter lim="800000"/>
                      <a:headEnd/>
                      <a:tailEnd/>
                    </a:ln>
                  </pic:spPr>
                </pic:pic>
              </a:graphicData>
            </a:graphic>
          </wp:inline>
        </w:drawing>
      </w:r>
    </w:p>
    <w:p w:rsidR="00C330EB" w:rsidRDefault="00C330EB">
      <w:r>
        <w:rPr>
          <w:noProof/>
        </w:rPr>
        <w:lastRenderedPageBreak/>
        <w:drawing>
          <wp:inline distT="0" distB="0" distL="0" distR="0">
            <wp:extent cx="5487290" cy="7813964"/>
            <wp:effectExtent l="19050" t="0" r="0" b="0"/>
            <wp:docPr id="5" name="图片 5" descr="D:\Users\ZGB-91\Desktop\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ZGB-91\Desktop\3.jpeg"/>
                    <pic:cNvPicPr>
                      <a:picLocks noChangeAspect="1" noChangeArrowheads="1"/>
                    </pic:cNvPicPr>
                  </pic:nvPicPr>
                  <pic:blipFill>
                    <a:blip r:embed="rId8"/>
                    <a:srcRect/>
                    <a:stretch>
                      <a:fillRect/>
                    </a:stretch>
                  </pic:blipFill>
                  <pic:spPr bwMode="auto">
                    <a:xfrm>
                      <a:off x="0" y="0"/>
                      <a:ext cx="5487290" cy="7813964"/>
                    </a:xfrm>
                    <a:prstGeom prst="rect">
                      <a:avLst/>
                    </a:prstGeom>
                    <a:noFill/>
                    <a:ln w="9525">
                      <a:noFill/>
                      <a:miter lim="800000"/>
                      <a:headEnd/>
                      <a:tailEnd/>
                    </a:ln>
                  </pic:spPr>
                </pic:pic>
              </a:graphicData>
            </a:graphic>
          </wp:inline>
        </w:drawing>
      </w:r>
    </w:p>
    <w:p w:rsidR="00C330EB" w:rsidRDefault="00C330EB">
      <w:r>
        <w:rPr>
          <w:noProof/>
        </w:rPr>
        <w:lastRenderedPageBreak/>
        <w:drawing>
          <wp:inline distT="0" distB="0" distL="0" distR="0">
            <wp:extent cx="5485765" cy="7692390"/>
            <wp:effectExtent l="19050" t="0" r="635" b="0"/>
            <wp:docPr id="6" name="图片 6" descr="D:\Users\ZGB-91\Desktop\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ZGB-91\Desktop\4.jpeg"/>
                    <pic:cNvPicPr>
                      <a:picLocks noChangeAspect="1" noChangeArrowheads="1"/>
                    </pic:cNvPicPr>
                  </pic:nvPicPr>
                  <pic:blipFill>
                    <a:blip r:embed="rId9"/>
                    <a:srcRect/>
                    <a:stretch>
                      <a:fillRect/>
                    </a:stretch>
                  </pic:blipFill>
                  <pic:spPr bwMode="auto">
                    <a:xfrm>
                      <a:off x="0" y="0"/>
                      <a:ext cx="5485765" cy="7692390"/>
                    </a:xfrm>
                    <a:prstGeom prst="rect">
                      <a:avLst/>
                    </a:prstGeom>
                    <a:noFill/>
                    <a:ln w="9525">
                      <a:noFill/>
                      <a:miter lim="800000"/>
                      <a:headEnd/>
                      <a:tailEnd/>
                    </a:ln>
                  </pic:spPr>
                </pic:pic>
              </a:graphicData>
            </a:graphic>
          </wp:inline>
        </w:drawing>
      </w:r>
    </w:p>
    <w:p w:rsidR="00C330EB" w:rsidRPr="00C330EB" w:rsidRDefault="00C330EB">
      <w:r>
        <w:rPr>
          <w:noProof/>
        </w:rPr>
        <w:lastRenderedPageBreak/>
        <w:drawing>
          <wp:inline distT="0" distB="0" distL="0" distR="0">
            <wp:extent cx="5482590" cy="3291205"/>
            <wp:effectExtent l="19050" t="0" r="3810" b="0"/>
            <wp:docPr id="7" name="图片 7" descr="D:\Users\ZGB-91\Desktop\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ZGB-91\Desktop\5.jpeg"/>
                    <pic:cNvPicPr>
                      <a:picLocks noChangeAspect="1" noChangeArrowheads="1"/>
                    </pic:cNvPicPr>
                  </pic:nvPicPr>
                  <pic:blipFill>
                    <a:blip r:embed="rId10"/>
                    <a:srcRect/>
                    <a:stretch>
                      <a:fillRect/>
                    </a:stretch>
                  </pic:blipFill>
                  <pic:spPr bwMode="auto">
                    <a:xfrm>
                      <a:off x="0" y="0"/>
                      <a:ext cx="5482590" cy="3291205"/>
                    </a:xfrm>
                    <a:prstGeom prst="rect">
                      <a:avLst/>
                    </a:prstGeom>
                    <a:noFill/>
                    <a:ln w="9525">
                      <a:noFill/>
                      <a:miter lim="800000"/>
                      <a:headEnd/>
                      <a:tailEnd/>
                    </a:ln>
                  </pic:spPr>
                </pic:pic>
              </a:graphicData>
            </a:graphic>
          </wp:inline>
        </w:drawing>
      </w:r>
    </w:p>
    <w:sectPr w:rsidR="00C330EB" w:rsidRPr="00C330EB" w:rsidSect="002F3A54">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066" w:rsidRDefault="00280066" w:rsidP="007574E0">
      <w:r>
        <w:separator/>
      </w:r>
    </w:p>
  </w:endnote>
  <w:endnote w:type="continuationSeparator" w:id="1">
    <w:p w:rsidR="00280066" w:rsidRDefault="00280066" w:rsidP="007574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8CD" w:rsidRDefault="009328C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70574"/>
      <w:docPartObj>
        <w:docPartGallery w:val="Page Numbers (Bottom of Page)"/>
        <w:docPartUnique/>
      </w:docPartObj>
    </w:sdtPr>
    <w:sdtContent>
      <w:p w:rsidR="009328CD" w:rsidRDefault="009328CD">
        <w:pPr>
          <w:pStyle w:val="a4"/>
          <w:jc w:val="center"/>
        </w:pPr>
        <w:fldSimple w:instr=" PAGE   \* MERGEFORMAT ">
          <w:r w:rsidRPr="009328CD">
            <w:rPr>
              <w:noProof/>
              <w:lang w:val="zh-CN"/>
            </w:rPr>
            <w:t>6</w:t>
          </w:r>
        </w:fldSimple>
      </w:p>
    </w:sdtContent>
  </w:sdt>
  <w:p w:rsidR="00C330EB" w:rsidRDefault="00C330E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8CD" w:rsidRDefault="009328C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066" w:rsidRDefault="00280066" w:rsidP="007574E0">
      <w:r>
        <w:separator/>
      </w:r>
    </w:p>
  </w:footnote>
  <w:footnote w:type="continuationSeparator" w:id="1">
    <w:p w:rsidR="00280066" w:rsidRDefault="00280066" w:rsidP="007574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8CD" w:rsidRDefault="009328C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8CD" w:rsidRDefault="009328C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8CD" w:rsidRDefault="009328C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74E0"/>
    <w:rsid w:val="00151CC4"/>
    <w:rsid w:val="00280066"/>
    <w:rsid w:val="00293B38"/>
    <w:rsid w:val="002F3A54"/>
    <w:rsid w:val="0034282C"/>
    <w:rsid w:val="007574E0"/>
    <w:rsid w:val="007D591F"/>
    <w:rsid w:val="008D3026"/>
    <w:rsid w:val="009328CD"/>
    <w:rsid w:val="00AB4B3B"/>
    <w:rsid w:val="00C330EB"/>
    <w:rsid w:val="00E56E7C"/>
    <w:rsid w:val="00F711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A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74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74E0"/>
    <w:rPr>
      <w:sz w:val="18"/>
      <w:szCs w:val="18"/>
    </w:rPr>
  </w:style>
  <w:style w:type="paragraph" w:styleId="a4">
    <w:name w:val="footer"/>
    <w:basedOn w:val="a"/>
    <w:link w:val="Char0"/>
    <w:uiPriority w:val="99"/>
    <w:unhideWhenUsed/>
    <w:rsid w:val="007574E0"/>
    <w:pPr>
      <w:tabs>
        <w:tab w:val="center" w:pos="4153"/>
        <w:tab w:val="right" w:pos="8306"/>
      </w:tabs>
      <w:snapToGrid w:val="0"/>
      <w:jc w:val="left"/>
    </w:pPr>
    <w:rPr>
      <w:sz w:val="18"/>
      <w:szCs w:val="18"/>
    </w:rPr>
  </w:style>
  <w:style w:type="character" w:customStyle="1" w:styleId="Char0">
    <w:name w:val="页脚 Char"/>
    <w:basedOn w:val="a0"/>
    <w:link w:val="a4"/>
    <w:uiPriority w:val="99"/>
    <w:rsid w:val="007574E0"/>
    <w:rPr>
      <w:sz w:val="18"/>
      <w:szCs w:val="18"/>
    </w:rPr>
  </w:style>
  <w:style w:type="paragraph" w:styleId="a5">
    <w:name w:val="Normal (Web)"/>
    <w:basedOn w:val="a"/>
    <w:uiPriority w:val="99"/>
    <w:semiHidden/>
    <w:unhideWhenUsed/>
    <w:rsid w:val="007574E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574E0"/>
    <w:rPr>
      <w:b/>
      <w:bCs/>
    </w:rPr>
  </w:style>
  <w:style w:type="paragraph" w:styleId="a7">
    <w:name w:val="Balloon Text"/>
    <w:basedOn w:val="a"/>
    <w:link w:val="Char1"/>
    <w:uiPriority w:val="99"/>
    <w:semiHidden/>
    <w:unhideWhenUsed/>
    <w:rsid w:val="00C330EB"/>
    <w:rPr>
      <w:sz w:val="18"/>
      <w:szCs w:val="18"/>
    </w:rPr>
  </w:style>
  <w:style w:type="character" w:customStyle="1" w:styleId="Char1">
    <w:name w:val="批注框文本 Char"/>
    <w:basedOn w:val="a0"/>
    <w:link w:val="a7"/>
    <w:uiPriority w:val="99"/>
    <w:semiHidden/>
    <w:rsid w:val="00C330EB"/>
    <w:rPr>
      <w:sz w:val="18"/>
      <w:szCs w:val="18"/>
    </w:rPr>
  </w:style>
  <w:style w:type="paragraph" w:customStyle="1" w:styleId="1">
    <w:name w:val="正式标题1"/>
    <w:basedOn w:val="a"/>
    <w:link w:val="10"/>
    <w:qFormat/>
    <w:rsid w:val="00E56E7C"/>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E56E7C"/>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E56E7C"/>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E56E7C"/>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E56E7C"/>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E56E7C"/>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E56E7C"/>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E56E7C"/>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E56E7C"/>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E56E7C"/>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E56E7C"/>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E56E7C"/>
    <w:rPr>
      <w:rFonts w:ascii="仿宋" w:eastAsia="仿宋" w:hAnsi="仿宋" w:cs="宋体"/>
      <w:color w:val="000000" w:themeColor="text1"/>
      <w:kern w:val="0"/>
      <w:sz w:val="32"/>
      <w:szCs w:val="32"/>
      <w:shd w:val="clear" w:color="auto" w:fill="FFFFFF"/>
    </w:rPr>
  </w:style>
  <w:style w:type="paragraph" w:styleId="af0">
    <w:name w:val="Document Map"/>
    <w:basedOn w:val="a"/>
    <w:link w:val="Char2"/>
    <w:uiPriority w:val="99"/>
    <w:semiHidden/>
    <w:unhideWhenUsed/>
    <w:rsid w:val="00AB4B3B"/>
    <w:rPr>
      <w:rFonts w:ascii="宋体" w:eastAsia="宋体"/>
      <w:sz w:val="18"/>
      <w:szCs w:val="18"/>
    </w:rPr>
  </w:style>
  <w:style w:type="character" w:customStyle="1" w:styleId="Char2">
    <w:name w:val="文档结构图 Char"/>
    <w:basedOn w:val="a0"/>
    <w:link w:val="af0"/>
    <w:uiPriority w:val="99"/>
    <w:semiHidden/>
    <w:rsid w:val="00AB4B3B"/>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1539929070">
      <w:bodyDiv w:val="1"/>
      <w:marLeft w:val="0"/>
      <w:marRight w:val="0"/>
      <w:marTop w:val="0"/>
      <w:marBottom w:val="0"/>
      <w:divBdr>
        <w:top w:val="none" w:sz="0" w:space="0" w:color="auto"/>
        <w:left w:val="none" w:sz="0" w:space="0" w:color="auto"/>
        <w:bottom w:val="none" w:sz="0" w:space="0" w:color="auto"/>
        <w:right w:val="none" w:sz="0" w:space="0" w:color="auto"/>
      </w:divBdr>
    </w:div>
    <w:div w:id="203773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736</Words>
  <Characters>4199</Characters>
  <Application>Microsoft Office Word</Application>
  <DocSecurity>0</DocSecurity>
  <Lines>34</Lines>
  <Paragraphs>9</Paragraphs>
  <ScaleCrop>false</ScaleCrop>
  <Company>P R C</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ZGB-91</cp:lastModifiedBy>
  <cp:revision>8</cp:revision>
  <dcterms:created xsi:type="dcterms:W3CDTF">2020-01-06T01:38:00Z</dcterms:created>
  <dcterms:modified xsi:type="dcterms:W3CDTF">2020-01-19T09:31:00Z</dcterms:modified>
</cp:coreProperties>
</file>