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A8C92">
      <w:pPr>
        <w:adjustRightInd w:val="0"/>
        <w:snapToGrid w:val="0"/>
        <w:rPr>
          <w:rFonts w:hint="default"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附件2</w:t>
      </w:r>
    </w:p>
    <w:p w14:paraId="72968E4F">
      <w:pPr>
        <w:adjustRightInd w:val="0"/>
        <w:snapToGrid w:val="0"/>
        <w:jc w:val="center"/>
        <w:rPr>
          <w:rFonts w:hint="eastAsia" w:ascii="Times New Roman" w:hAnsi="Times New Roman" w:eastAsia="方正小标宋简体" w:cs="Times New Roman"/>
          <w:color w:val="000000"/>
          <w:sz w:val="44"/>
          <w:szCs w:val="44"/>
          <w:lang w:val="en-US" w:eastAsia="zh-CN"/>
        </w:rPr>
      </w:pPr>
    </w:p>
    <w:p w14:paraId="65EA3A0D">
      <w:pPr>
        <w:adjustRightInd w:val="0"/>
        <w:snapToGrid w:val="0"/>
        <w:jc w:val="center"/>
        <w:rPr>
          <w:rFonts w:hint="eastAsia"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关于</w:t>
      </w:r>
      <w:r>
        <w:rPr>
          <w:rFonts w:hint="default" w:ascii="Times New Roman" w:hAnsi="Times New Roman" w:eastAsia="方正小标宋简体" w:cs="Times New Roman"/>
          <w:color w:val="000000"/>
          <w:sz w:val="44"/>
          <w:szCs w:val="44"/>
          <w:lang w:val="en-US" w:eastAsia="zh-CN"/>
        </w:rPr>
        <w:t>广州市黄埔区（中新广州知识城</w:t>
      </w:r>
      <w:r>
        <w:rPr>
          <w:rFonts w:hint="eastAsia" w:ascii="Times New Roman" w:hAnsi="Times New Roman" w:eastAsia="方正小标宋简体" w:cs="Times New Roman"/>
          <w:color w:val="000000"/>
          <w:sz w:val="44"/>
          <w:szCs w:val="44"/>
          <w:lang w:val="en-US" w:eastAsia="zh-CN"/>
        </w:rPr>
        <w:t>）</w:t>
      </w:r>
    </w:p>
    <w:p w14:paraId="454E27A8">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2024年度第三十七批次</w:t>
      </w:r>
      <w:r>
        <w:rPr>
          <w:rFonts w:hint="default" w:ascii="Times New Roman" w:hAnsi="Times New Roman" w:eastAsia="方正小标宋简体" w:cs="Times New Roman"/>
          <w:color w:val="000000"/>
          <w:sz w:val="44"/>
          <w:szCs w:val="44"/>
          <w:lang w:val="en-US" w:eastAsia="zh-CN"/>
        </w:rPr>
        <w:t>城镇建设</w:t>
      </w:r>
    </w:p>
    <w:p w14:paraId="7ECD8633">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用地</w:t>
      </w:r>
      <w:r>
        <w:rPr>
          <w:rFonts w:hint="eastAsia" w:ascii="Times New Roman" w:hAnsi="Times New Roman" w:eastAsia="方正小标宋简体" w:cs="Times New Roman"/>
          <w:color w:val="000000"/>
          <w:sz w:val="44"/>
          <w:szCs w:val="44"/>
          <w:lang w:val="en-US" w:eastAsia="zh-CN"/>
        </w:rPr>
        <w:t>（36.5055亩）</w:t>
      </w:r>
      <w:r>
        <w:rPr>
          <w:rFonts w:hint="default" w:ascii="Times New Roman" w:hAnsi="Times New Roman" w:eastAsia="方正小标宋简体" w:cs="Times New Roman"/>
          <w:color w:val="000000"/>
          <w:sz w:val="44"/>
          <w:szCs w:val="44"/>
          <w:lang w:val="en-US" w:eastAsia="zh-CN"/>
        </w:rPr>
        <w:t>被征地</w:t>
      </w:r>
    </w:p>
    <w:p w14:paraId="4351072B">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农民养老保障方案</w:t>
      </w:r>
    </w:p>
    <w:p w14:paraId="51BEC930">
      <w:pPr>
        <w:rPr>
          <w:rFonts w:hint="default" w:ascii="Times New Roman" w:hAnsi="Times New Roman" w:eastAsia="仿宋_GB2312" w:cs="Times New Roman"/>
          <w:kern w:val="0"/>
          <w:szCs w:val="32"/>
        </w:rPr>
      </w:pPr>
    </w:p>
    <w:p w14:paraId="127069E4">
      <w:pPr>
        <w:ind w:firstLine="640" w:firstLineChars="200"/>
        <w:jc w:val="both"/>
        <w:rPr>
          <w:rFonts w:ascii="Times New Roman" w:hAnsi="Times New Roman" w:eastAsia="仿宋_GB2312" w:cs="Times New Roman"/>
          <w:sz w:val="32"/>
          <w:szCs w:val="32"/>
          <w:u w:val="single"/>
        </w:rPr>
      </w:pPr>
      <w:r>
        <w:rPr>
          <w:rFonts w:hint="eastAsia" w:ascii="仿宋_GB2312" w:hAnsi="Times New Roman" w:eastAsia="仿宋_GB2312" w:cs="Times New Roman"/>
          <w:color w:val="000000"/>
          <w:kern w:val="0"/>
          <w:sz w:val="32"/>
          <w:szCs w:val="32"/>
          <w:shd w:val="clear" w:color="auto" w:fill="FFFFFF"/>
          <w:lang w:bidi="ar"/>
        </w:rPr>
        <w:t>依照</w:t>
      </w:r>
      <w:r>
        <w:rPr>
          <w:rFonts w:hint="eastAsia" w:ascii="仿宋_GB2312" w:hAnsi="Times New Roman" w:eastAsia="仿宋_GB2312" w:cs="Times New Roman"/>
          <w:sz w:val="32"/>
          <w:szCs w:val="32"/>
        </w:rPr>
        <w:t>《中华人民共和国土地管理法》、</w:t>
      </w:r>
      <w:r>
        <w:rPr>
          <w:rFonts w:hint="eastAsia" w:ascii="仿宋_GB2312" w:hAnsi="Times New Roman" w:eastAsia="仿宋_GB2312" w:cs="Times New Roman"/>
          <w:kern w:val="0"/>
          <w:sz w:val="32"/>
          <w:szCs w:val="32"/>
          <w:shd w:val="clear" w:color="auto" w:fill="FFFFFF"/>
          <w:lang w:bidi="ar"/>
        </w:rPr>
        <w:t>《关于切实做好被征地农民社会保障工作有关问题的通知》</w:t>
      </w:r>
      <w:r>
        <w:rPr>
          <w:rFonts w:ascii="Times New Roman" w:hAnsi="Times New Roman" w:eastAsia="仿宋_GB2312" w:cs="Times New Roman"/>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劳社部发〔2007〕14号，下称劳社部发〔2007〕14号）</w:t>
      </w:r>
      <w:r>
        <w:rPr>
          <w:rFonts w:hint="eastAsia" w:ascii="Times New Roman" w:hAnsi="Times New Roman" w:eastAsia="仿宋_GB2312" w:cs="Times New Roman"/>
          <w:color w:val="000000"/>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《广东省人民政府办公厅转发省人力资源社会保障厅关于进一步完善我省被征地农民养老保障工作意见的通知》（粤府办〔2021〕22号）</w:t>
      </w:r>
      <w:r>
        <w:rPr>
          <w:rFonts w:hint="eastAsia" w:ascii="Times New Roman" w:hAnsi="Times New Roman" w:eastAsia="仿宋_GB2312" w:cs="Times New Roman"/>
          <w:color w:val="000000"/>
          <w:kern w:val="0"/>
          <w:sz w:val="32"/>
          <w:szCs w:val="32"/>
          <w:shd w:val="clear" w:color="auto" w:fill="FFFFFF"/>
          <w:lang w:bidi="ar"/>
        </w:rPr>
        <w:t>第八条、《广州市人民政府办公厅关于印发广州市城乡居民养老保险实施办法的通知》</w:t>
      </w:r>
      <w:r>
        <w:rPr>
          <w:rFonts w:ascii="Times New Roman" w:hAnsi="Times New Roman" w:eastAsia="仿宋_GB2312" w:cs="Times New Roman"/>
          <w:color w:val="000000"/>
          <w:kern w:val="0"/>
          <w:sz w:val="32"/>
          <w:szCs w:val="32"/>
          <w:shd w:val="clear" w:color="auto" w:fill="FFFFFF"/>
          <w:lang w:bidi="ar"/>
        </w:rPr>
        <w:t>（</w:t>
      </w:r>
      <w:r>
        <w:rPr>
          <w:rFonts w:hint="eastAsia" w:ascii="Times New Roman" w:hAnsi="Times New Roman" w:eastAsia="仿宋_GB2312" w:cs="Times New Roman"/>
          <w:color w:val="000000"/>
          <w:kern w:val="0"/>
          <w:sz w:val="32"/>
          <w:szCs w:val="32"/>
          <w:shd w:val="clear" w:color="auto" w:fill="FFFFFF"/>
          <w:lang w:bidi="ar"/>
        </w:rPr>
        <w:t>穗</w:t>
      </w:r>
      <w:r>
        <w:rPr>
          <w:rFonts w:ascii="Times New Roman" w:hAnsi="Times New Roman" w:eastAsia="仿宋_GB2312" w:cs="Times New Roman"/>
          <w:color w:val="000000"/>
          <w:kern w:val="0"/>
          <w:sz w:val="32"/>
          <w:szCs w:val="32"/>
          <w:shd w:val="clear" w:color="auto" w:fill="FFFFFF"/>
          <w:lang w:bidi="ar"/>
        </w:rPr>
        <w:t>府办</w:t>
      </w:r>
      <w:r>
        <w:rPr>
          <w:rFonts w:hint="eastAsia" w:ascii="Times New Roman" w:hAnsi="Times New Roman" w:eastAsia="仿宋_GB2312" w:cs="Times New Roman"/>
          <w:color w:val="000000"/>
          <w:kern w:val="0"/>
          <w:sz w:val="32"/>
          <w:szCs w:val="32"/>
          <w:shd w:val="clear" w:color="auto" w:fill="FFFFFF"/>
          <w:lang w:bidi="ar"/>
        </w:rPr>
        <w:t>规</w:t>
      </w:r>
      <w:r>
        <w:rPr>
          <w:rFonts w:ascii="Times New Roman" w:hAnsi="Times New Roman" w:eastAsia="仿宋_GB2312" w:cs="Times New Roman"/>
          <w:color w:val="000000"/>
          <w:kern w:val="0"/>
          <w:sz w:val="32"/>
          <w:szCs w:val="32"/>
          <w:shd w:val="clear" w:color="auto" w:fill="FFFFFF"/>
          <w:lang w:bidi="ar"/>
        </w:rPr>
        <w:t>〔2021〕</w:t>
      </w:r>
      <w:r>
        <w:rPr>
          <w:rFonts w:hint="eastAsia" w:ascii="Times New Roman" w:hAnsi="Times New Roman" w:eastAsia="仿宋_GB2312" w:cs="Times New Roman"/>
          <w:color w:val="000000"/>
          <w:kern w:val="0"/>
          <w:sz w:val="32"/>
          <w:szCs w:val="32"/>
          <w:shd w:val="clear" w:color="auto" w:fill="FFFFFF"/>
          <w:lang w:bidi="ar"/>
        </w:rPr>
        <w:t>8</w:t>
      </w:r>
      <w:r>
        <w:rPr>
          <w:rFonts w:ascii="Times New Roman" w:hAnsi="Times New Roman" w:eastAsia="仿宋_GB2312" w:cs="Times New Roman"/>
          <w:color w:val="000000"/>
          <w:kern w:val="0"/>
          <w:sz w:val="32"/>
          <w:szCs w:val="32"/>
          <w:shd w:val="clear" w:color="auto" w:fill="FFFFFF"/>
          <w:lang w:bidi="ar"/>
        </w:rPr>
        <w:t>号）</w:t>
      </w:r>
      <w:r>
        <w:rPr>
          <w:rFonts w:hint="eastAsia" w:ascii="Times New Roman" w:hAnsi="Times New Roman" w:eastAsia="仿宋_GB2312" w:cs="Times New Roman"/>
          <w:color w:val="000000"/>
          <w:kern w:val="0"/>
          <w:sz w:val="32"/>
          <w:szCs w:val="32"/>
          <w:shd w:val="clear" w:color="auto" w:fill="FFFFFF"/>
          <w:lang w:bidi="ar"/>
        </w:rPr>
        <w:t>第九条</w:t>
      </w:r>
      <w:r>
        <w:rPr>
          <w:rFonts w:ascii="Times New Roman" w:hAnsi="Times New Roman" w:eastAsia="仿宋_GB2312" w:cs="Times New Roman"/>
          <w:color w:val="000000"/>
          <w:kern w:val="0"/>
          <w:sz w:val="32"/>
          <w:szCs w:val="32"/>
          <w:shd w:val="clear" w:color="auto" w:fill="FFFFFF"/>
          <w:lang w:bidi="ar"/>
        </w:rPr>
        <w:t>等有关规定</w:t>
      </w:r>
      <w:r>
        <w:rPr>
          <w:rFonts w:ascii="Times New Roman" w:hAnsi="Times New Roman" w:eastAsia="仿宋_GB2312" w:cs="Times New Roman"/>
          <w:kern w:val="0"/>
          <w:sz w:val="32"/>
          <w:szCs w:val="32"/>
        </w:rPr>
        <w:t>，拟定</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年度第三十</w:t>
      </w:r>
      <w:r>
        <w:rPr>
          <w:rFonts w:hint="eastAsia" w:ascii="Times New Roman" w:hAnsi="Times New Roman" w:eastAsia="仿宋_GB2312" w:cs="Times New Roman"/>
          <w:sz w:val="32"/>
          <w:szCs w:val="32"/>
          <w:lang w:val="en-US" w:eastAsia="zh-CN"/>
        </w:rPr>
        <w:t>七</w:t>
      </w:r>
      <w:r>
        <w:rPr>
          <w:rFonts w:hint="eastAsia" w:ascii="Times New Roman" w:hAnsi="Times New Roman" w:eastAsia="仿宋_GB2312" w:cs="Times New Roman"/>
          <w:sz w:val="32"/>
          <w:szCs w:val="32"/>
          <w:lang w:eastAsia="zh-CN"/>
        </w:rPr>
        <w:t>批次</w:t>
      </w:r>
      <w:r>
        <w:rPr>
          <w:rFonts w:ascii="Times New Roman" w:hAnsi="Times New Roman" w:eastAsia="仿宋_GB2312" w:cs="Times New Roman"/>
          <w:sz w:val="32"/>
          <w:szCs w:val="32"/>
        </w:rPr>
        <w:t>城镇建设用地</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36.5055</w:t>
      </w:r>
      <w:r>
        <w:rPr>
          <w:rFonts w:hint="eastAsia" w:ascii="Times New Roman" w:hAnsi="Times New Roman" w:eastAsia="仿宋_GB2312" w:cs="Times New Roman"/>
          <w:sz w:val="32"/>
          <w:szCs w:val="32"/>
        </w:rPr>
        <w:t>亩）</w:t>
      </w:r>
      <w:r>
        <w:rPr>
          <w:rFonts w:ascii="Times New Roman" w:hAnsi="Times New Roman" w:eastAsia="仿宋_GB2312" w:cs="Times New Roman"/>
          <w:sz w:val="32"/>
          <w:szCs w:val="32"/>
        </w:rPr>
        <w:t>被征地农民养老</w:t>
      </w:r>
      <w:r>
        <w:rPr>
          <w:rFonts w:ascii="Times New Roman" w:hAnsi="Times New Roman" w:eastAsia="仿宋_GB2312" w:cs="Times New Roman"/>
          <w:kern w:val="0"/>
          <w:sz w:val="32"/>
          <w:szCs w:val="32"/>
        </w:rPr>
        <w:t>保障</w:t>
      </w:r>
      <w:r>
        <w:rPr>
          <w:rFonts w:ascii="Times New Roman" w:hAnsi="Times New Roman" w:eastAsia="仿宋_GB2312" w:cs="Times New Roman"/>
          <w:sz w:val="32"/>
          <w:szCs w:val="32"/>
        </w:rPr>
        <w:t>方案</w:t>
      </w:r>
      <w:r>
        <w:rPr>
          <w:rFonts w:ascii="Times New Roman" w:hAnsi="Times New Roman" w:eastAsia="仿宋_GB2312" w:cs="Times New Roman"/>
          <w:kern w:val="0"/>
          <w:sz w:val="32"/>
          <w:szCs w:val="32"/>
        </w:rPr>
        <w:t>如下：</w:t>
      </w:r>
    </w:p>
    <w:p w14:paraId="1B969811">
      <w:pPr>
        <w:numPr>
          <w:ilvl w:val="0"/>
          <w:numId w:val="1"/>
        </w:numPr>
        <w:ind w:firstLine="640" w:firstLineChars="200"/>
        <w:jc w:val="both"/>
        <w:rPr>
          <w:rFonts w:ascii="Times New Roman" w:hAnsi="Times New Roman" w:eastAsia="黑体" w:cs="Times New Roman"/>
          <w:kern w:val="0"/>
          <w:sz w:val="32"/>
          <w:szCs w:val="32"/>
        </w:rPr>
      </w:pPr>
      <w:r>
        <w:rPr>
          <w:rFonts w:ascii="Times New Roman" w:hAnsi="Times New Roman" w:eastAsia="黑体" w:cs="Times New Roman"/>
          <w:kern w:val="0"/>
          <w:sz w:val="32"/>
          <w:szCs w:val="32"/>
        </w:rPr>
        <w:t>对</w:t>
      </w:r>
      <w:r>
        <w:rPr>
          <w:rFonts w:ascii="Times New Roman" w:hAnsi="Times New Roman" w:eastAsia="黑体" w:cs="Times New Roman"/>
          <w:sz w:val="32"/>
          <w:szCs w:val="32"/>
        </w:rPr>
        <w:t>广州市黄埔区（中新广州知识城</w:t>
      </w:r>
      <w:r>
        <w:rPr>
          <w:rFonts w:hint="eastAsia" w:ascii="Times New Roman" w:hAnsi="Times New Roman" w:eastAsia="黑体" w:cs="Times New Roman"/>
          <w:sz w:val="32"/>
          <w:szCs w:val="32"/>
          <w:lang w:eastAsia="zh-CN"/>
        </w:rPr>
        <w:t>）202</w:t>
      </w:r>
      <w:r>
        <w:rPr>
          <w:rFonts w:hint="eastAsia" w:ascii="Times New Roman" w:hAnsi="Times New Roman" w:eastAsia="黑体" w:cs="Times New Roman"/>
          <w:sz w:val="32"/>
          <w:szCs w:val="32"/>
          <w:lang w:val="en-US" w:eastAsia="zh-CN"/>
        </w:rPr>
        <w:t>4</w:t>
      </w:r>
      <w:r>
        <w:rPr>
          <w:rFonts w:hint="eastAsia" w:ascii="Times New Roman" w:hAnsi="Times New Roman" w:eastAsia="黑体" w:cs="Times New Roman"/>
          <w:sz w:val="32"/>
          <w:szCs w:val="32"/>
          <w:lang w:eastAsia="zh-CN"/>
        </w:rPr>
        <w:t>年度第三十</w:t>
      </w:r>
      <w:r>
        <w:rPr>
          <w:rFonts w:hint="eastAsia" w:ascii="Times New Roman" w:hAnsi="Times New Roman" w:eastAsia="黑体" w:cs="Times New Roman"/>
          <w:sz w:val="32"/>
          <w:szCs w:val="32"/>
          <w:lang w:val="en-US" w:eastAsia="zh-CN"/>
        </w:rPr>
        <w:t>七</w:t>
      </w:r>
      <w:r>
        <w:rPr>
          <w:rFonts w:hint="eastAsia" w:ascii="Times New Roman" w:hAnsi="Times New Roman" w:eastAsia="黑体" w:cs="Times New Roman"/>
          <w:sz w:val="32"/>
          <w:szCs w:val="32"/>
          <w:lang w:eastAsia="zh-CN"/>
        </w:rPr>
        <w:t>批次</w:t>
      </w:r>
      <w:r>
        <w:rPr>
          <w:rFonts w:ascii="Times New Roman" w:hAnsi="Times New Roman" w:eastAsia="黑体" w:cs="Times New Roman"/>
          <w:sz w:val="32"/>
          <w:szCs w:val="32"/>
        </w:rPr>
        <w:t>城镇建设</w:t>
      </w:r>
      <w:r>
        <w:rPr>
          <w:rFonts w:ascii="Times New Roman" w:hAnsi="Times New Roman" w:eastAsia="黑体" w:cs="Times New Roman"/>
          <w:kern w:val="0"/>
          <w:sz w:val="32"/>
          <w:szCs w:val="32"/>
        </w:rPr>
        <w:t>用地</w:t>
      </w:r>
      <w:r>
        <w:rPr>
          <w:rFonts w:hint="eastAsia" w:ascii="Times New Roman" w:hAnsi="Times New Roman" w:eastAsia="黑体" w:cs="Times New Roman"/>
          <w:kern w:val="0"/>
          <w:sz w:val="32"/>
          <w:szCs w:val="32"/>
        </w:rPr>
        <w:t>（</w:t>
      </w:r>
      <w:r>
        <w:rPr>
          <w:rFonts w:hint="eastAsia" w:ascii="Times New Roman" w:hAnsi="Times New Roman" w:eastAsia="黑体" w:cs="Times New Roman"/>
          <w:kern w:val="0"/>
          <w:sz w:val="32"/>
          <w:szCs w:val="32"/>
          <w:lang w:val="en-US" w:eastAsia="zh-CN"/>
        </w:rPr>
        <w:t>36.5055</w:t>
      </w:r>
      <w:r>
        <w:rPr>
          <w:rFonts w:hint="eastAsia" w:ascii="Times New Roman" w:hAnsi="Times New Roman" w:eastAsia="黑体" w:cs="Times New Roman"/>
          <w:kern w:val="0"/>
          <w:sz w:val="32"/>
          <w:szCs w:val="32"/>
        </w:rPr>
        <w:t>亩）</w:t>
      </w:r>
      <w:r>
        <w:rPr>
          <w:rFonts w:ascii="Times New Roman" w:hAnsi="Times New Roman" w:eastAsia="黑体" w:cs="Times New Roman"/>
          <w:kern w:val="0"/>
          <w:sz w:val="32"/>
          <w:szCs w:val="32"/>
        </w:rPr>
        <w:t>涉及的被征地农民实施社会养老保障。</w:t>
      </w:r>
    </w:p>
    <w:p w14:paraId="6F2520D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Times New Roman" w:eastAsia="仿宋_GB2312"/>
          <w:kern w:val="0"/>
          <w:sz w:val="32"/>
          <w:szCs w:val="32"/>
          <w:highlight w:val="none"/>
          <w:shd w:val="clear" w:color="auto" w:fill="FFFFFF"/>
          <w:lang w:val="en-US" w:eastAsia="zh-CN" w:bidi="ar"/>
        </w:rPr>
      </w:pPr>
      <w:r>
        <w:rPr>
          <w:rFonts w:ascii="Times New Roman" w:hAnsi="Times New Roman" w:eastAsia="黑体" w:cs="Times New Roman"/>
          <w:kern w:val="0"/>
          <w:sz w:val="32"/>
          <w:szCs w:val="32"/>
        </w:rPr>
        <w:t>二、</w:t>
      </w:r>
      <w:r>
        <w:rPr>
          <w:rFonts w:hint="eastAsia" w:ascii="黑体" w:hAnsi="黑体" w:eastAsia="黑体" w:cs="Times New Roman"/>
          <w:bCs/>
          <w:kern w:val="0"/>
          <w:sz w:val="32"/>
          <w:szCs w:val="32"/>
          <w:shd w:val="clear" w:color="auto" w:fill="FFFFFF"/>
          <w:lang w:val="en-US" w:eastAsia="zh-CN"/>
        </w:rPr>
        <w:t>征地社保费筹集</w:t>
      </w:r>
      <w:r>
        <w:rPr>
          <w:rFonts w:ascii="Times New Roman" w:hAnsi="Times New Roman" w:eastAsia="黑体" w:cs="Times New Roman"/>
          <w:kern w:val="0"/>
          <w:sz w:val="32"/>
          <w:szCs w:val="32"/>
        </w:rPr>
        <w:t>。</w:t>
      </w:r>
      <w:r>
        <w:rPr>
          <w:rFonts w:hint="eastAsia" w:ascii="Times New Roman" w:hAnsi="Times New Roman" w:eastAsia="仿宋_GB2312" w:cs="Times New Roman"/>
          <w:sz w:val="32"/>
          <w:szCs w:val="32"/>
          <w:lang w:val="en-US" w:eastAsia="zh-CN"/>
        </w:rPr>
        <w:t>依据广州市规划和自然资源局黄埔区分局提供情况，该项目征收我区龙湖街道何棠下村经济联合社、龙湖街道迳下村虎窿经济合作社、迳下村迳下经济合作社集体土地</w:t>
      </w:r>
      <w:r>
        <w:rPr>
          <w:rFonts w:hint="eastAsia" w:eastAsia="仿宋_GB2312" w:cs="Times New Roman"/>
          <w:color w:val="000000"/>
          <w:sz w:val="32"/>
          <w:szCs w:val="32"/>
          <w:lang w:bidi="ar"/>
        </w:rPr>
        <w:t>面积共</w:t>
      </w:r>
      <w:r>
        <w:rPr>
          <w:rFonts w:hint="eastAsia" w:ascii="Times New Roman" w:hAnsi="Times New Roman" w:eastAsia="黑体" w:cs="Times New Roman"/>
          <w:kern w:val="0"/>
          <w:sz w:val="32"/>
          <w:szCs w:val="32"/>
          <w:lang w:val="en-US" w:eastAsia="zh-CN"/>
        </w:rPr>
        <w:t>36.5055</w:t>
      </w:r>
      <w:r>
        <w:rPr>
          <w:rFonts w:hint="eastAsia" w:eastAsia="仿宋_GB2312" w:cs="Times New Roman"/>
          <w:color w:val="000000"/>
          <w:sz w:val="32"/>
          <w:szCs w:val="32"/>
          <w:lang w:bidi="ar"/>
        </w:rPr>
        <w:t>亩（其中被征地单位留用地</w:t>
      </w:r>
      <w:r>
        <w:rPr>
          <w:rFonts w:hint="eastAsia" w:ascii="Times New Roman" w:hAnsi="Times New Roman" w:eastAsia="仿宋_GB2312" w:cs="Times New Roman"/>
          <w:color w:val="000000"/>
          <w:sz w:val="32"/>
          <w:szCs w:val="32"/>
          <w:highlight w:val="none"/>
          <w:lang w:val="en-US" w:eastAsia="zh-CN" w:bidi="ar"/>
        </w:rPr>
        <w:t>2.9265</w:t>
      </w:r>
      <w:r>
        <w:rPr>
          <w:rFonts w:ascii="Times New Roman" w:hAnsi="Times New Roman" w:eastAsia="仿宋_GB2312" w:cs="Times New Roman"/>
          <w:color w:val="000000"/>
          <w:sz w:val="32"/>
          <w:szCs w:val="32"/>
          <w:lang w:bidi="ar"/>
        </w:rPr>
        <w:t>亩</w:t>
      </w:r>
      <w:r>
        <w:rPr>
          <w:rFonts w:hint="eastAsia" w:ascii="Times New Roman" w:hAnsi="Times New Roman" w:eastAsia="仿宋_GB2312" w:cs="Times New Roman"/>
          <w:color w:val="000000"/>
          <w:sz w:val="32"/>
          <w:szCs w:val="32"/>
          <w:lang w:eastAsia="zh-CN" w:bidi="ar"/>
        </w:rPr>
        <w:t>）</w:t>
      </w:r>
      <w:r>
        <w:rPr>
          <w:rFonts w:hint="eastAsia" w:eastAsia="仿宋_GB2312" w:cs="Times New Roman"/>
          <w:color w:val="000000"/>
          <w:sz w:val="32"/>
          <w:szCs w:val="32"/>
          <w:lang w:bidi="ar"/>
        </w:rPr>
        <w:t>，项目</w:t>
      </w:r>
      <w:r>
        <w:rPr>
          <w:rFonts w:hint="eastAsia" w:eastAsia="仿宋_GB2312" w:cs="Times New Roman"/>
          <w:color w:val="000000"/>
          <w:sz w:val="32"/>
          <w:szCs w:val="32"/>
          <w:lang w:val="en-US" w:eastAsia="zh-CN" w:bidi="ar"/>
        </w:rPr>
        <w:t>涉及征收的土地于</w:t>
      </w:r>
      <w:r>
        <w:rPr>
          <w:rFonts w:hint="default" w:ascii="Times New Roman" w:hAnsi="Times New Roman" w:eastAsia="仿宋_GB2312" w:cs="Times New Roman"/>
          <w:color w:val="000000"/>
          <w:sz w:val="32"/>
          <w:szCs w:val="32"/>
          <w:lang w:val="en-US" w:eastAsia="zh-CN" w:bidi="ar"/>
        </w:rPr>
        <w:t>2021</w:t>
      </w:r>
      <w:r>
        <w:rPr>
          <w:rFonts w:hint="eastAsia" w:eastAsia="仿宋_GB2312" w:cs="Times New Roman"/>
          <w:color w:val="000000"/>
          <w:sz w:val="32"/>
          <w:szCs w:val="32"/>
          <w:lang w:val="en-US" w:eastAsia="zh-CN" w:bidi="ar"/>
        </w:rPr>
        <w:t>年</w:t>
      </w:r>
      <w:r>
        <w:rPr>
          <w:rFonts w:hint="default" w:ascii="Times New Roman" w:hAnsi="Times New Roman" w:eastAsia="仿宋_GB2312" w:cs="Times New Roman"/>
          <w:color w:val="000000"/>
          <w:sz w:val="32"/>
          <w:szCs w:val="32"/>
          <w:lang w:val="en-US" w:eastAsia="zh-CN" w:bidi="ar"/>
        </w:rPr>
        <w:t>8</w:t>
      </w:r>
      <w:r>
        <w:rPr>
          <w:rFonts w:hint="eastAsia" w:eastAsia="仿宋_GB2312" w:cs="Times New Roman"/>
          <w:color w:val="000000"/>
          <w:sz w:val="32"/>
          <w:szCs w:val="32"/>
          <w:lang w:val="en-US" w:eastAsia="zh-CN" w:bidi="ar"/>
        </w:rPr>
        <w:t>月</w:t>
      </w:r>
      <w:r>
        <w:rPr>
          <w:rFonts w:hint="eastAsia" w:ascii="Times New Roman" w:hAnsi="Times New Roman" w:eastAsia="仿宋_GB2312" w:cs="Times New Roman"/>
          <w:color w:val="000000"/>
          <w:sz w:val="32"/>
          <w:szCs w:val="32"/>
          <w:lang w:val="en-US" w:eastAsia="zh-CN" w:bidi="ar"/>
        </w:rPr>
        <w:t>1</w:t>
      </w:r>
      <w:r>
        <w:rPr>
          <w:rFonts w:hint="eastAsia" w:eastAsia="仿宋_GB2312" w:cs="Times New Roman"/>
          <w:color w:val="000000"/>
          <w:sz w:val="32"/>
          <w:szCs w:val="32"/>
          <w:lang w:val="en-US" w:eastAsia="zh-CN" w:bidi="ar"/>
        </w:rPr>
        <w:t>日后签订征地补偿安置协议。该项目征地社保费应按</w:t>
      </w:r>
      <w:r>
        <w:rPr>
          <w:rFonts w:hint="eastAsia" w:ascii="Times New Roman" w:hAnsi="Times New Roman" w:eastAsia="仿宋_GB2312" w:cs="Times New Roman"/>
          <w:color w:val="000000"/>
          <w:sz w:val="32"/>
          <w:szCs w:val="32"/>
          <w:lang w:val="en-US" w:eastAsia="zh-CN" w:bidi="ar"/>
        </w:rPr>
        <w:t>2.47</w:t>
      </w:r>
      <w:r>
        <w:rPr>
          <w:rFonts w:hint="eastAsia" w:eastAsia="仿宋_GB2312" w:cs="Times New Roman"/>
          <w:color w:val="000000"/>
          <w:sz w:val="32"/>
          <w:szCs w:val="32"/>
          <w:lang w:val="en-US" w:eastAsia="zh-CN" w:bidi="ar"/>
        </w:rPr>
        <w:t>万元</w:t>
      </w:r>
      <w:r>
        <w:rPr>
          <w:rFonts w:hint="eastAsia" w:ascii="Times New Roman" w:hAnsi="Times New Roman" w:eastAsia="仿宋_GB2312" w:cs="Times New Roman"/>
          <w:color w:val="000000"/>
          <w:sz w:val="32"/>
          <w:szCs w:val="32"/>
          <w:lang w:val="en-US" w:eastAsia="zh-CN" w:bidi="ar"/>
        </w:rPr>
        <w:t>/</w:t>
      </w:r>
      <w:r>
        <w:rPr>
          <w:rFonts w:hint="eastAsia" w:eastAsia="仿宋_GB2312" w:cs="Times New Roman"/>
          <w:color w:val="000000"/>
          <w:sz w:val="32"/>
          <w:szCs w:val="32"/>
          <w:lang w:val="en-US" w:eastAsia="zh-CN" w:bidi="ar"/>
        </w:rPr>
        <w:t>亩的标准计提</w:t>
      </w:r>
      <w:r>
        <w:rPr>
          <w:rFonts w:hint="eastAsia" w:ascii="仿宋_GB2312" w:hAnsi="仿宋_GB2312" w:eastAsia="仿宋_GB2312" w:cs="仿宋_GB2312"/>
          <w:color w:val="000000"/>
          <w:sz w:val="32"/>
          <w:szCs w:val="32"/>
          <w:lang w:val="en-US" w:eastAsia="zh-CN" w:bidi="ar"/>
        </w:rPr>
        <w:t>(</w:t>
      </w:r>
      <w:r>
        <w:rPr>
          <w:rFonts w:hint="eastAsia" w:eastAsia="仿宋_GB2312" w:cs="Times New Roman"/>
          <w:color w:val="000000"/>
          <w:sz w:val="32"/>
          <w:szCs w:val="32"/>
          <w:lang w:val="en-US" w:eastAsia="zh-CN" w:bidi="ar"/>
        </w:rPr>
        <w:t>即征地补偿安置方案制定时，我区每亩平均征收农用地综合区片地价</w:t>
      </w:r>
      <w:r>
        <w:rPr>
          <w:rFonts w:hint="eastAsia" w:ascii="Times New Roman" w:hAnsi="Times New Roman" w:eastAsia="仿宋_GB2312" w:cs="Times New Roman"/>
          <w:color w:val="000000"/>
          <w:sz w:val="32"/>
          <w:szCs w:val="32"/>
          <w:lang w:val="en-US" w:eastAsia="zh-CN" w:bidi="ar"/>
        </w:rPr>
        <w:t>21.84</w:t>
      </w:r>
      <w:r>
        <w:rPr>
          <w:rFonts w:hint="eastAsia" w:eastAsia="仿宋_GB2312" w:cs="Times New Roman"/>
          <w:color w:val="000000"/>
          <w:sz w:val="32"/>
          <w:szCs w:val="32"/>
          <w:lang w:val="en-US" w:eastAsia="zh-CN" w:bidi="ar"/>
        </w:rPr>
        <w:t>万元</w:t>
      </w:r>
      <w:r>
        <w:rPr>
          <w:rFonts w:hint="eastAsia" w:ascii="Times New Roman" w:hAnsi="Times New Roman" w:eastAsia="仿宋_GB2312" w:cs="Times New Roman"/>
          <w:color w:val="000000"/>
          <w:sz w:val="32"/>
          <w:szCs w:val="32"/>
          <w:lang w:val="en-US" w:eastAsia="zh-CN" w:bidi="ar"/>
        </w:rPr>
        <w:t>/</w:t>
      </w:r>
      <w:r>
        <w:rPr>
          <w:rFonts w:hint="eastAsia" w:eastAsia="仿宋_GB2312" w:cs="Times New Roman"/>
          <w:color w:val="000000"/>
          <w:sz w:val="32"/>
          <w:szCs w:val="32"/>
          <w:lang w:val="en-US" w:eastAsia="zh-CN" w:bidi="ar"/>
        </w:rPr>
        <w:t>亩乘以对应广州市五级十档计提比例</w:t>
      </w:r>
      <w:r>
        <w:rPr>
          <w:rFonts w:hint="eastAsia" w:ascii="Times New Roman" w:hAnsi="Times New Roman" w:eastAsia="仿宋_GB2312" w:cs="Times New Roman"/>
          <w:color w:val="000000"/>
          <w:sz w:val="32"/>
          <w:szCs w:val="32"/>
          <w:lang w:val="en-US" w:eastAsia="zh-CN" w:bidi="ar"/>
        </w:rPr>
        <w:t>11%</w:t>
      </w:r>
      <w:r>
        <w:rPr>
          <w:rFonts w:hint="eastAsia" w:ascii="Times New Roman" w:hAnsi="Times New Roman" w:eastAsia="仿宋_GB2312" w:cs="Times New Roman"/>
          <w:color w:val="000000"/>
          <w:kern w:val="0"/>
          <w:sz w:val="32"/>
          <w:szCs w:val="32"/>
          <w:highlight w:val="none"/>
          <w:shd w:val="clear" w:color="auto" w:fill="FFFFFF"/>
          <w:lang w:bidi="ar"/>
        </w:rPr>
        <w:t>，</w:t>
      </w:r>
      <w:r>
        <w:rPr>
          <w:rFonts w:hint="eastAsia" w:eastAsia="仿宋_GB2312" w:cs="Times New Roman"/>
          <w:color w:val="000000"/>
          <w:sz w:val="32"/>
          <w:szCs w:val="32"/>
          <w:lang w:val="en-US" w:eastAsia="zh-CN" w:bidi="ar"/>
        </w:rPr>
        <w:t>因计算结果</w:t>
      </w:r>
      <w:r>
        <w:rPr>
          <w:rFonts w:hint="eastAsia" w:ascii="Times New Roman" w:hAnsi="Times New Roman" w:eastAsia="仿宋_GB2312" w:cs="Times New Roman"/>
          <w:color w:val="000000"/>
          <w:sz w:val="32"/>
          <w:szCs w:val="32"/>
          <w:lang w:val="en-US" w:eastAsia="zh-CN" w:bidi="ar"/>
        </w:rPr>
        <w:t>2.4024</w:t>
      </w:r>
      <w:r>
        <w:rPr>
          <w:rFonts w:hint="eastAsia" w:eastAsia="仿宋_GB2312" w:cs="Times New Roman"/>
          <w:color w:val="000000"/>
          <w:sz w:val="32"/>
          <w:szCs w:val="32"/>
          <w:lang w:val="en-US" w:eastAsia="zh-CN" w:bidi="ar"/>
        </w:rPr>
        <w:t>万元</w:t>
      </w:r>
      <w:r>
        <w:rPr>
          <w:rFonts w:hint="eastAsia" w:ascii="Times New Roman" w:hAnsi="Times New Roman" w:eastAsia="仿宋_GB2312" w:cs="Times New Roman"/>
          <w:color w:val="000000"/>
          <w:sz w:val="32"/>
          <w:szCs w:val="32"/>
          <w:lang w:val="en-US" w:eastAsia="zh-CN" w:bidi="ar"/>
        </w:rPr>
        <w:t>/</w:t>
      </w:r>
      <w:r>
        <w:rPr>
          <w:rFonts w:hint="eastAsia" w:eastAsia="仿宋_GB2312" w:cs="Times New Roman"/>
          <w:color w:val="000000"/>
          <w:sz w:val="32"/>
          <w:szCs w:val="32"/>
          <w:lang w:val="en-US" w:eastAsia="zh-CN" w:bidi="ar"/>
        </w:rPr>
        <w:t>亩低于该档最低计提标准</w:t>
      </w:r>
      <w:r>
        <w:rPr>
          <w:rFonts w:hint="eastAsia" w:ascii="Times New Roman" w:hAnsi="Times New Roman" w:eastAsia="仿宋_GB2312" w:cs="Times New Roman"/>
          <w:color w:val="000000"/>
          <w:sz w:val="32"/>
          <w:szCs w:val="32"/>
          <w:lang w:val="en-US" w:eastAsia="zh-CN" w:bidi="ar"/>
        </w:rPr>
        <w:t>2.47</w:t>
      </w:r>
      <w:r>
        <w:rPr>
          <w:rFonts w:hint="eastAsia" w:eastAsia="仿宋_GB2312" w:cs="Times New Roman"/>
          <w:color w:val="000000"/>
          <w:sz w:val="32"/>
          <w:szCs w:val="32"/>
          <w:lang w:val="en-US" w:eastAsia="zh-CN" w:bidi="ar"/>
        </w:rPr>
        <w:t>万元</w:t>
      </w:r>
      <w:r>
        <w:rPr>
          <w:rFonts w:hint="eastAsia" w:ascii="Times New Roman" w:hAnsi="Times New Roman" w:eastAsia="仿宋_GB2312" w:cs="Times New Roman"/>
          <w:color w:val="000000"/>
          <w:sz w:val="32"/>
          <w:szCs w:val="32"/>
          <w:lang w:val="en-US" w:eastAsia="zh-CN" w:bidi="ar"/>
        </w:rPr>
        <w:t>/</w:t>
      </w:r>
      <w:r>
        <w:rPr>
          <w:rFonts w:hint="eastAsia" w:eastAsia="仿宋_GB2312" w:cs="Times New Roman"/>
          <w:color w:val="000000"/>
          <w:sz w:val="32"/>
          <w:szCs w:val="32"/>
          <w:lang w:val="en-US" w:eastAsia="zh-CN" w:bidi="ar"/>
        </w:rPr>
        <w:t>亩，按最低计提标准执行</w:t>
      </w:r>
      <w:r>
        <w:rPr>
          <w:rFonts w:hint="eastAsia" w:ascii="仿宋_GB2312" w:hAnsi="仿宋_GB2312" w:eastAsia="仿宋_GB2312" w:cs="仿宋_GB2312"/>
          <w:color w:val="000000"/>
          <w:sz w:val="32"/>
          <w:szCs w:val="32"/>
          <w:lang w:val="en-US" w:eastAsia="zh-CN" w:bidi="ar"/>
        </w:rPr>
        <w:t>)</w:t>
      </w:r>
      <w:r>
        <w:rPr>
          <w:rFonts w:hint="eastAsia" w:eastAsia="仿宋_GB2312" w:cs="Times New Roman"/>
          <w:color w:val="000000"/>
          <w:sz w:val="32"/>
          <w:szCs w:val="32"/>
          <w:lang w:val="en-US" w:eastAsia="zh-CN" w:bidi="ar"/>
        </w:rPr>
        <w:t>，其中</w:t>
      </w:r>
      <w:r>
        <w:rPr>
          <w:rFonts w:hint="eastAsia" w:ascii="Times New Roman" w:hAnsi="Times New Roman" w:eastAsia="仿宋_GB2312" w:cs="Times New Roman"/>
          <w:color w:val="000000"/>
          <w:sz w:val="32"/>
          <w:szCs w:val="32"/>
          <w:highlight w:val="none"/>
          <w:lang w:val="en-US" w:eastAsia="zh-CN" w:bidi="ar"/>
        </w:rPr>
        <w:t>2.9265</w:t>
      </w:r>
      <w:r>
        <w:rPr>
          <w:rFonts w:hint="eastAsia" w:ascii="Times New Roman" w:hAnsi="Times New Roman" w:eastAsia="仿宋_GB2312" w:cs="Times New Roman"/>
          <w:color w:val="000000"/>
          <w:sz w:val="32"/>
          <w:szCs w:val="32"/>
          <w:lang w:val="en-US" w:eastAsia="zh-CN" w:bidi="ar"/>
        </w:rPr>
        <w:t>亩</w:t>
      </w:r>
      <w:r>
        <w:rPr>
          <w:rFonts w:hint="eastAsia" w:eastAsia="仿宋_GB2312" w:cs="Times New Roman"/>
          <w:color w:val="000000"/>
          <w:sz w:val="32"/>
          <w:szCs w:val="32"/>
          <w:lang w:val="en-US" w:eastAsia="zh-CN" w:bidi="ar"/>
        </w:rPr>
        <w:t>属于农村集体经济组织用地，按规定不计提征地社保费，需计提资金共</w:t>
      </w:r>
      <w:r>
        <w:rPr>
          <w:rFonts w:hint="eastAsia" w:ascii="Times New Roman" w:hAnsi="Times New Roman" w:eastAsia="仿宋_GB2312" w:cs="Times New Roman"/>
          <w:color w:val="000000"/>
          <w:sz w:val="32"/>
          <w:szCs w:val="32"/>
          <w:highlight w:val="none"/>
          <w:lang w:val="en-US" w:eastAsia="zh-CN" w:bidi="ar"/>
        </w:rPr>
        <w:t>82.95</w:t>
      </w:r>
      <w:r>
        <w:rPr>
          <w:rFonts w:hint="eastAsia" w:eastAsia="仿宋_GB2312" w:cs="Times New Roman"/>
          <w:color w:val="000000"/>
          <w:sz w:val="32"/>
          <w:szCs w:val="32"/>
          <w:lang w:val="en-US" w:eastAsia="zh-CN" w:bidi="ar"/>
        </w:rPr>
        <w:t>万元由征地主体</w:t>
      </w:r>
      <w:r>
        <w:rPr>
          <w:rFonts w:hint="eastAsia" w:ascii="仿宋_GB2312" w:hAnsi="仿宋_GB2312" w:eastAsia="仿宋_GB2312" w:cs="仿宋_GB2312"/>
          <w:color w:val="000000"/>
          <w:sz w:val="32"/>
          <w:szCs w:val="32"/>
          <w:lang w:val="en-US" w:eastAsia="zh-CN" w:bidi="ar"/>
        </w:rPr>
        <w:t>(</w:t>
      </w:r>
      <w:r>
        <w:rPr>
          <w:rFonts w:hint="eastAsia" w:eastAsia="仿宋_GB2312" w:cs="Times New Roman"/>
          <w:color w:val="000000"/>
          <w:sz w:val="32"/>
          <w:szCs w:val="32"/>
          <w:lang w:val="en-US" w:eastAsia="zh-CN" w:bidi="ar"/>
        </w:rPr>
        <w:t>用地单位</w:t>
      </w:r>
      <w:r>
        <w:rPr>
          <w:rFonts w:hint="eastAsia" w:ascii="仿宋_GB2312" w:hAnsi="仿宋_GB2312" w:eastAsia="仿宋_GB2312" w:cs="仿宋_GB2312"/>
          <w:color w:val="000000"/>
          <w:sz w:val="32"/>
          <w:szCs w:val="32"/>
          <w:lang w:val="en-US" w:eastAsia="zh-CN" w:bidi="ar"/>
        </w:rPr>
        <w:t>)</w:t>
      </w:r>
      <w:r>
        <w:rPr>
          <w:rFonts w:hint="eastAsia" w:eastAsia="仿宋_GB2312" w:cs="Times New Roman"/>
          <w:color w:val="000000"/>
          <w:sz w:val="32"/>
          <w:szCs w:val="32"/>
          <w:lang w:val="en-US" w:eastAsia="zh-CN" w:bidi="ar"/>
        </w:rPr>
        <w:t>一次性预存入我区人力资源社会保障部门开设的“收缴被征地农民养老保障资金过渡户”，计入征地成本，纳入工程项目概算</w:t>
      </w:r>
      <w:r>
        <w:rPr>
          <w:rFonts w:hint="eastAsia" w:eastAsia="仿宋_GB2312" w:cs="Times New Roman"/>
          <w:color w:val="auto"/>
          <w:sz w:val="32"/>
          <w:szCs w:val="32"/>
          <w:lang w:val="en-US" w:eastAsia="zh-CN" w:bidi="ar"/>
        </w:rPr>
        <w:t>。</w:t>
      </w:r>
    </w:p>
    <w:p w14:paraId="35CEBDF8">
      <w:pPr>
        <w:ind w:firstLine="640" w:firstLineChars="200"/>
        <w:jc w:val="both"/>
        <w:rPr>
          <w:rFonts w:ascii="Times New Roman" w:hAnsi="Times New Roman" w:eastAsia="仿宋_GB2312" w:cs="Times New Roman"/>
          <w:sz w:val="32"/>
          <w:szCs w:val="32"/>
        </w:rPr>
      </w:pPr>
      <w:r>
        <w:rPr>
          <w:rFonts w:hint="eastAsia" w:ascii="黑体" w:hAnsi="黑体" w:eastAsia="黑体" w:cs="Times New Roman"/>
          <w:bCs/>
          <w:kern w:val="0"/>
          <w:sz w:val="32"/>
          <w:szCs w:val="32"/>
          <w:highlight w:val="none"/>
          <w:shd w:val="clear" w:color="auto" w:fill="FFFFFF"/>
        </w:rPr>
        <w:t>三、征地社保费</w:t>
      </w:r>
      <w:r>
        <w:rPr>
          <w:rFonts w:hint="eastAsia" w:ascii="黑体" w:hAnsi="黑体" w:eastAsia="黑体" w:cs="Times New Roman"/>
          <w:bCs/>
          <w:kern w:val="0"/>
          <w:sz w:val="32"/>
          <w:szCs w:val="32"/>
          <w:highlight w:val="none"/>
          <w:shd w:val="clear" w:color="auto" w:fill="FFFFFF"/>
          <w:lang w:val="en-US" w:eastAsia="zh-CN"/>
        </w:rPr>
        <w:t>补贴对象</w:t>
      </w:r>
      <w:r>
        <w:rPr>
          <w:rFonts w:ascii="Times New Roman" w:hAnsi="Times New Roman" w:eastAsia="黑体" w:cs="Times New Roman"/>
          <w:kern w:val="0"/>
          <w:sz w:val="32"/>
          <w:szCs w:val="32"/>
          <w:highlight w:val="none"/>
        </w:rPr>
        <w:t>。</w:t>
      </w:r>
      <w:r>
        <w:rPr>
          <w:rFonts w:hint="eastAsia" w:ascii="Times New Roman" w:hAnsi="Times New Roman" w:eastAsia="仿宋_GB2312" w:cs="Times New Roman"/>
          <w:color w:val="000000"/>
          <w:kern w:val="0"/>
          <w:sz w:val="32"/>
          <w:szCs w:val="32"/>
          <w:highlight w:val="none"/>
          <w:shd w:val="clear" w:color="auto" w:fill="FFFFFF"/>
          <w:lang w:bidi="ar"/>
        </w:rPr>
        <w:t>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w:t>
      </w:r>
      <w:r>
        <w:rPr>
          <w:rFonts w:hint="eastAsia" w:ascii="仿宋_GB2312" w:hAnsi="仿宋_GB2312" w:eastAsia="仿宋_GB2312" w:cs="仿宋_GB2312"/>
          <w:color w:val="000000"/>
          <w:kern w:val="0"/>
          <w:sz w:val="32"/>
          <w:szCs w:val="32"/>
          <w:highlight w:val="none"/>
          <w:shd w:val="clear" w:color="auto" w:fill="FFFFFF"/>
          <w:lang w:bidi="ar"/>
        </w:rPr>
        <w:t>(</w:t>
      </w:r>
      <w:r>
        <w:rPr>
          <w:rFonts w:hint="eastAsia" w:ascii="Times New Roman" w:hAnsi="Times New Roman" w:eastAsia="仿宋_GB2312" w:cs="Times New Roman"/>
          <w:color w:val="000000"/>
          <w:kern w:val="0"/>
          <w:sz w:val="32"/>
          <w:szCs w:val="32"/>
          <w:highlight w:val="none"/>
          <w:shd w:val="clear" w:color="auto" w:fill="FFFFFF"/>
          <w:lang w:bidi="ar"/>
        </w:rPr>
        <w:t>如实行土地股份制经济或者集体统一经营土地等情况</w:t>
      </w:r>
      <w:r>
        <w:rPr>
          <w:rFonts w:hint="eastAsia" w:ascii="仿宋_GB2312" w:hAnsi="仿宋_GB2312" w:eastAsia="仿宋_GB2312" w:cs="仿宋_GB2312"/>
          <w:color w:val="000000"/>
          <w:kern w:val="0"/>
          <w:sz w:val="32"/>
          <w:szCs w:val="32"/>
          <w:highlight w:val="none"/>
          <w:shd w:val="clear" w:color="auto" w:fill="FFFFFF"/>
          <w:lang w:bidi="ar"/>
        </w:rPr>
        <w:t>)，</w:t>
      </w:r>
      <w:r>
        <w:rPr>
          <w:rFonts w:hint="eastAsia" w:ascii="Times New Roman" w:hAnsi="Times New Roman" w:eastAsia="仿宋_GB2312" w:cs="Times New Roman"/>
          <w:color w:val="000000"/>
          <w:kern w:val="0"/>
          <w:sz w:val="32"/>
          <w:szCs w:val="32"/>
          <w:highlight w:val="none"/>
          <w:shd w:val="clear" w:color="auto" w:fill="FFFFFF"/>
          <w:lang w:bidi="ar"/>
        </w:rPr>
        <w:t>可从其规定。</w:t>
      </w:r>
    </w:p>
    <w:p w14:paraId="7278DE64">
      <w:pPr>
        <w:shd w:val="clear" w:color="auto" w:fill="FFFFFF"/>
        <w:spacing w:line="540" w:lineRule="exact"/>
        <w:ind w:firstLine="611" w:firstLineChars="191"/>
        <w:rPr>
          <w:rFonts w:ascii="Times New Roman" w:hAnsi="Times New Roman" w:eastAsia="仿宋_GB2312" w:cs="Times New Roman"/>
          <w:sz w:val="32"/>
          <w:szCs w:val="32"/>
        </w:rPr>
      </w:pPr>
    </w:p>
    <w:p w14:paraId="21B9000A">
      <w:pPr>
        <w:shd w:val="clear" w:color="auto" w:fill="FFFFFF"/>
        <w:spacing w:line="540" w:lineRule="exact"/>
        <w:ind w:firstLine="611" w:firstLineChars="191"/>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附表：征地土地和养老保障情况一览表</w:t>
      </w:r>
    </w:p>
    <w:p w14:paraId="13A976A3">
      <w:pPr>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br w:type="page"/>
      </w:r>
    </w:p>
    <w:p w14:paraId="714DC2DF">
      <w:pPr>
        <w:rPr>
          <w:rFonts w:hint="default" w:ascii="黑体" w:hAnsi="黑体" w:eastAsia="黑体" w:cs="黑体"/>
          <w:kern w:val="32"/>
          <w:sz w:val="32"/>
          <w:szCs w:val="32"/>
        </w:rPr>
      </w:pPr>
      <w:r>
        <w:rPr>
          <w:rFonts w:hint="default" w:ascii="黑体" w:hAnsi="黑体" w:eastAsia="黑体" w:cs="黑体"/>
          <w:kern w:val="32"/>
          <w:sz w:val="32"/>
          <w:szCs w:val="32"/>
        </w:rPr>
        <w:t>附</w:t>
      </w:r>
      <w:r>
        <w:rPr>
          <w:rFonts w:hint="eastAsia" w:ascii="黑体" w:hAnsi="黑体" w:eastAsia="黑体" w:cs="黑体"/>
          <w:kern w:val="32"/>
          <w:sz w:val="32"/>
          <w:szCs w:val="32"/>
          <w:lang w:eastAsia="zh-CN"/>
        </w:rPr>
        <w:t>表</w:t>
      </w:r>
      <w:r>
        <w:rPr>
          <w:rFonts w:hint="default" w:ascii="黑体" w:hAnsi="黑体" w:eastAsia="黑体" w:cs="黑体"/>
          <w:kern w:val="32"/>
          <w:sz w:val="32"/>
          <w:szCs w:val="32"/>
        </w:rPr>
        <w:t>：</w:t>
      </w:r>
    </w:p>
    <w:p w14:paraId="604860A3">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征地土地和养老保障情况一览表</w:t>
      </w:r>
    </w:p>
    <w:p w14:paraId="15BAF5F5">
      <w:pPr>
        <w:ind w:firstLine="640" w:firstLineChars="200"/>
        <w:jc w:val="right"/>
        <w:rPr>
          <w:rFonts w:eastAsia="仿宋_GB2312"/>
          <w:sz w:val="32"/>
          <w:szCs w:val="32"/>
        </w:rPr>
      </w:pPr>
      <w:r>
        <w:rPr>
          <w:rFonts w:hint="eastAsia" w:eastAsia="仿宋_GB2312"/>
          <w:sz w:val="32"/>
          <w:szCs w:val="32"/>
        </w:rPr>
        <w:t>单位：亩、万元</w:t>
      </w:r>
    </w:p>
    <w:tbl>
      <w:tblPr>
        <w:tblStyle w:val="3"/>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84"/>
        <w:gridCol w:w="2569"/>
        <w:gridCol w:w="1968"/>
        <w:gridCol w:w="1744"/>
        <w:gridCol w:w="1370"/>
      </w:tblGrid>
      <w:tr w14:paraId="3B912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9" w:hRule="atLeast"/>
          <w:jc w:val="center"/>
        </w:trPr>
        <w:tc>
          <w:tcPr>
            <w:tcW w:w="3453" w:type="dxa"/>
            <w:gridSpan w:val="2"/>
            <w:shd w:val="clear" w:color="auto" w:fill="FFFFFF"/>
            <w:vAlign w:val="center"/>
          </w:tcPr>
          <w:p w14:paraId="0FEE5CB8">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被征地单位</w:t>
            </w:r>
          </w:p>
        </w:tc>
        <w:tc>
          <w:tcPr>
            <w:tcW w:w="1968" w:type="dxa"/>
            <w:vMerge w:val="restart"/>
            <w:shd w:val="clear" w:color="auto" w:fill="FFFFFF"/>
            <w:vAlign w:val="center"/>
          </w:tcPr>
          <w:p w14:paraId="02179A29">
            <w:pPr>
              <w:spacing w:line="320" w:lineRule="exact"/>
              <w:jc w:val="center"/>
              <w:rPr>
                <w:rFonts w:hint="eastAsia" w:ascii="Times New Roman" w:hAnsi="Times New Roman" w:eastAsia="仿宋_GB2312" w:cs="Times New Roman"/>
                <w:sz w:val="24"/>
                <w:lang w:eastAsia="zh-CN"/>
              </w:rPr>
            </w:pPr>
            <w:r>
              <w:rPr>
                <w:rFonts w:hint="default" w:ascii="Times New Roman" w:hAnsi="Times New Roman" w:eastAsia="仿宋_GB2312" w:cs="Times New Roman"/>
                <w:sz w:val="24"/>
              </w:rPr>
              <w:t>征收</w:t>
            </w:r>
            <w:r>
              <w:rPr>
                <w:rFonts w:hint="eastAsia" w:ascii="Times New Roman" w:hAnsi="Times New Roman" w:eastAsia="仿宋_GB2312" w:cs="Times New Roman"/>
                <w:sz w:val="24"/>
                <w:lang w:val="en-US" w:eastAsia="zh-CN"/>
              </w:rPr>
              <w:t>集体</w:t>
            </w:r>
            <w:r>
              <w:rPr>
                <w:rFonts w:hint="default" w:ascii="Times New Roman" w:hAnsi="Times New Roman" w:eastAsia="仿宋_GB2312" w:cs="Times New Roman"/>
                <w:sz w:val="24"/>
              </w:rPr>
              <w:t>土地面积</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亩</w:t>
            </w:r>
            <w:r>
              <w:rPr>
                <w:rFonts w:hint="eastAsia" w:ascii="Times New Roman" w:hAnsi="Times New Roman" w:eastAsia="仿宋_GB2312" w:cs="Times New Roman"/>
                <w:sz w:val="24"/>
                <w:lang w:eastAsia="zh-CN"/>
              </w:rPr>
              <w:t>）</w:t>
            </w:r>
          </w:p>
        </w:tc>
        <w:tc>
          <w:tcPr>
            <w:tcW w:w="1744" w:type="dxa"/>
            <w:vMerge w:val="restart"/>
            <w:shd w:val="clear" w:color="auto" w:fill="FFFFFF"/>
            <w:vAlign w:val="center"/>
          </w:tcPr>
          <w:p w14:paraId="15EFD4A0">
            <w:pPr>
              <w:spacing w:line="32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其中</w:t>
            </w:r>
            <w:r>
              <w:rPr>
                <w:rFonts w:hint="default" w:ascii="Times New Roman" w:hAnsi="Times New Roman" w:eastAsia="仿宋_GB2312" w:cs="Times New Roman"/>
                <w:sz w:val="24"/>
              </w:rPr>
              <w:t>属于被征地单位留用地面积</w:t>
            </w:r>
          </w:p>
          <w:p w14:paraId="735834B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1370" w:type="dxa"/>
            <w:vMerge w:val="restart"/>
            <w:shd w:val="clear" w:color="auto" w:fill="FFFFFF"/>
            <w:vAlign w:val="center"/>
          </w:tcPr>
          <w:p w14:paraId="1D7C7232">
            <w:pPr>
              <w:spacing w:line="32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需计</w:t>
            </w:r>
            <w:r>
              <w:rPr>
                <w:rFonts w:hint="eastAsia" w:ascii="Times New Roman" w:hAnsi="Times New Roman" w:eastAsia="仿宋_GB2312" w:cs="Times New Roman"/>
                <w:sz w:val="24"/>
                <w:lang w:val="en-US" w:eastAsia="zh-CN"/>
              </w:rPr>
              <w:t>提征地社保费（万元）</w:t>
            </w:r>
          </w:p>
        </w:tc>
      </w:tr>
      <w:tr w14:paraId="6E681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884" w:type="dxa"/>
            <w:shd w:val="clear" w:color="auto" w:fill="FFFFFF"/>
            <w:noWrap/>
            <w:vAlign w:val="center"/>
          </w:tcPr>
          <w:p w14:paraId="63FF102B">
            <w:pPr>
              <w:widowControl/>
              <w:spacing w:line="280" w:lineRule="exact"/>
              <w:jc w:val="center"/>
              <w:textAlignment w:val="center"/>
              <w:rPr>
                <w:rFonts w:hint="default"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镇/街</w:t>
            </w:r>
          </w:p>
        </w:tc>
        <w:tc>
          <w:tcPr>
            <w:tcW w:w="2569" w:type="dxa"/>
            <w:shd w:val="clear" w:color="auto" w:fill="FFFFFF"/>
            <w:vAlign w:val="center"/>
          </w:tcPr>
          <w:p w14:paraId="7F3756F7">
            <w:pPr>
              <w:widowControl/>
              <w:spacing w:line="280" w:lineRule="exact"/>
              <w:jc w:val="center"/>
              <w:textAlignment w:val="center"/>
              <w:rPr>
                <w:rFonts w:hint="default"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经济合作社/经济联合社</w:t>
            </w:r>
          </w:p>
        </w:tc>
        <w:tc>
          <w:tcPr>
            <w:tcW w:w="1968" w:type="dxa"/>
            <w:vMerge w:val="continue"/>
            <w:shd w:val="clear" w:color="auto" w:fill="FFFFFF"/>
            <w:vAlign w:val="center"/>
          </w:tcPr>
          <w:p w14:paraId="4B06018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p>
        </w:tc>
        <w:tc>
          <w:tcPr>
            <w:tcW w:w="1744" w:type="dxa"/>
            <w:vMerge w:val="continue"/>
            <w:shd w:val="clear" w:color="auto" w:fill="FFFFFF"/>
            <w:vAlign w:val="center"/>
          </w:tcPr>
          <w:p w14:paraId="423C5D5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1370" w:type="dxa"/>
            <w:vMerge w:val="continue"/>
            <w:shd w:val="clear" w:color="auto" w:fill="FFFFFF"/>
            <w:noWrap/>
            <w:vAlign w:val="center"/>
          </w:tcPr>
          <w:p w14:paraId="024268C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p>
        </w:tc>
      </w:tr>
      <w:tr w14:paraId="716F5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884" w:type="dxa"/>
            <w:vMerge w:val="restart"/>
            <w:shd w:val="clear" w:color="auto" w:fill="FFFFFF"/>
            <w:noWrap/>
            <w:vAlign w:val="center"/>
          </w:tcPr>
          <w:p w14:paraId="01252925">
            <w:pPr>
              <w:widowControl/>
              <w:spacing w:line="280" w:lineRule="exact"/>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龙</w:t>
            </w:r>
          </w:p>
          <w:p w14:paraId="7A5E48D4">
            <w:pPr>
              <w:widowControl/>
              <w:spacing w:line="280" w:lineRule="exact"/>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湖</w:t>
            </w:r>
          </w:p>
          <w:p w14:paraId="2DAA2F03">
            <w:pPr>
              <w:widowControl/>
              <w:spacing w:line="280" w:lineRule="exact"/>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街</w:t>
            </w:r>
          </w:p>
          <w:p w14:paraId="7B86929F">
            <w:pPr>
              <w:widowControl/>
              <w:spacing w:line="280" w:lineRule="exact"/>
              <w:jc w:val="center"/>
              <w:textAlignment w:val="center"/>
              <w:rPr>
                <w:rFonts w:hint="default"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道</w:t>
            </w:r>
          </w:p>
        </w:tc>
        <w:tc>
          <w:tcPr>
            <w:tcW w:w="2569" w:type="dxa"/>
            <w:shd w:val="clear" w:color="auto" w:fill="FFFFFF"/>
            <w:vAlign w:val="center"/>
          </w:tcPr>
          <w:p w14:paraId="49BDC556">
            <w:pPr>
              <w:widowControl/>
              <w:spacing w:line="280" w:lineRule="exact"/>
              <w:jc w:val="center"/>
              <w:textAlignment w:val="center"/>
              <w:rPr>
                <w:rFonts w:hint="eastAsia" w:ascii="Times New Roman" w:hAnsi="Times New Roman" w:eastAsia="仿宋_GB2312" w:cs="Times New Roman"/>
                <w:sz w:val="22"/>
                <w:szCs w:val="22"/>
                <w:lang w:eastAsia="zh-CN"/>
              </w:rPr>
            </w:pPr>
            <w:r>
              <w:rPr>
                <w:rFonts w:hint="eastAsia" w:ascii="仿宋_GB2312" w:hAnsi="仿宋_GB2312" w:eastAsia="仿宋_GB2312" w:cs="仿宋_GB2312"/>
                <w:color w:val="000000"/>
                <w:kern w:val="0"/>
                <w:sz w:val="22"/>
                <w:szCs w:val="22"/>
                <w:lang w:val="en-US" w:eastAsia="zh-CN" w:bidi="ar"/>
              </w:rPr>
              <w:t>何棠下村经济联合社</w:t>
            </w:r>
          </w:p>
        </w:tc>
        <w:tc>
          <w:tcPr>
            <w:tcW w:w="1968" w:type="dxa"/>
            <w:shd w:val="clear" w:color="auto" w:fill="FFFFFF"/>
            <w:vAlign w:val="center"/>
          </w:tcPr>
          <w:p w14:paraId="720C2787">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 xml:space="preserve">4.3155 </w:t>
            </w:r>
          </w:p>
        </w:tc>
        <w:tc>
          <w:tcPr>
            <w:tcW w:w="1744" w:type="dxa"/>
            <w:shd w:val="clear" w:color="auto" w:fill="FFFFFF"/>
            <w:vAlign w:val="center"/>
          </w:tcPr>
          <w:p w14:paraId="567C927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1370" w:type="dxa"/>
            <w:shd w:val="clear" w:color="auto" w:fill="FFFFFF"/>
            <w:noWrap/>
            <w:vAlign w:val="center"/>
          </w:tcPr>
          <w:p w14:paraId="4BDE221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10.66</w:t>
            </w:r>
          </w:p>
        </w:tc>
      </w:tr>
      <w:tr w14:paraId="48B74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884" w:type="dxa"/>
            <w:vMerge w:val="continue"/>
            <w:shd w:val="clear" w:color="auto" w:fill="FFFFFF"/>
            <w:noWrap/>
            <w:vAlign w:val="center"/>
          </w:tcPr>
          <w:p w14:paraId="49AF4374">
            <w:pPr>
              <w:widowControl/>
              <w:spacing w:line="280" w:lineRule="exact"/>
              <w:jc w:val="center"/>
              <w:textAlignment w:val="center"/>
              <w:rPr>
                <w:rFonts w:hint="default" w:ascii="Times New Roman" w:hAnsi="Times New Roman" w:eastAsia="仿宋_GB2312" w:cs="Times New Roman"/>
                <w:sz w:val="24"/>
              </w:rPr>
            </w:pPr>
          </w:p>
        </w:tc>
        <w:tc>
          <w:tcPr>
            <w:tcW w:w="2569" w:type="dxa"/>
            <w:shd w:val="clear" w:color="auto" w:fill="FFFFFF"/>
            <w:vAlign w:val="center"/>
          </w:tcPr>
          <w:p w14:paraId="0794B878">
            <w:pPr>
              <w:widowControl/>
              <w:spacing w:line="280" w:lineRule="exact"/>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迳下村虎窿经济合作社</w:t>
            </w:r>
          </w:p>
        </w:tc>
        <w:tc>
          <w:tcPr>
            <w:tcW w:w="1968" w:type="dxa"/>
            <w:shd w:val="clear" w:color="auto" w:fill="FFFFFF"/>
            <w:vAlign w:val="center"/>
          </w:tcPr>
          <w:p w14:paraId="2BA10E0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31.7850 </w:t>
            </w:r>
          </w:p>
        </w:tc>
        <w:tc>
          <w:tcPr>
            <w:tcW w:w="1744" w:type="dxa"/>
            <w:shd w:val="clear" w:color="auto" w:fill="FFFFFF"/>
            <w:vAlign w:val="center"/>
          </w:tcPr>
          <w:p w14:paraId="19BF886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2.8890 </w:t>
            </w:r>
          </w:p>
        </w:tc>
        <w:tc>
          <w:tcPr>
            <w:tcW w:w="1370" w:type="dxa"/>
            <w:shd w:val="clear" w:color="auto" w:fill="FFFFFF"/>
            <w:noWrap/>
            <w:vAlign w:val="center"/>
          </w:tcPr>
          <w:p w14:paraId="23A1625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71.38</w:t>
            </w:r>
          </w:p>
        </w:tc>
      </w:tr>
      <w:tr w14:paraId="7C3AD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884" w:type="dxa"/>
            <w:vMerge w:val="continue"/>
            <w:shd w:val="clear" w:color="auto" w:fill="FFFFFF"/>
            <w:noWrap/>
            <w:vAlign w:val="center"/>
          </w:tcPr>
          <w:p w14:paraId="747E4FCC">
            <w:pPr>
              <w:widowControl/>
              <w:spacing w:line="280" w:lineRule="exact"/>
              <w:jc w:val="center"/>
              <w:textAlignment w:val="center"/>
              <w:rPr>
                <w:rFonts w:hint="default" w:ascii="Times New Roman" w:hAnsi="Times New Roman" w:eastAsia="仿宋_GB2312" w:cs="Times New Roman"/>
                <w:sz w:val="24"/>
              </w:rPr>
            </w:pPr>
          </w:p>
        </w:tc>
        <w:tc>
          <w:tcPr>
            <w:tcW w:w="2569" w:type="dxa"/>
            <w:shd w:val="clear" w:color="auto" w:fill="FFFFFF"/>
            <w:vAlign w:val="center"/>
          </w:tcPr>
          <w:p w14:paraId="2719F12F">
            <w:pPr>
              <w:widowControl/>
              <w:spacing w:line="280" w:lineRule="exact"/>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迳下村迳下经济合作社</w:t>
            </w:r>
          </w:p>
        </w:tc>
        <w:tc>
          <w:tcPr>
            <w:tcW w:w="1968" w:type="dxa"/>
            <w:shd w:val="clear" w:color="auto" w:fill="FFFFFF"/>
            <w:vAlign w:val="center"/>
          </w:tcPr>
          <w:p w14:paraId="308A56B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0.4050 </w:t>
            </w:r>
          </w:p>
        </w:tc>
        <w:tc>
          <w:tcPr>
            <w:tcW w:w="1744" w:type="dxa"/>
            <w:shd w:val="clear" w:color="auto" w:fill="FFFFFF"/>
            <w:vAlign w:val="center"/>
          </w:tcPr>
          <w:p w14:paraId="4249B04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0.0375 </w:t>
            </w:r>
          </w:p>
        </w:tc>
        <w:tc>
          <w:tcPr>
            <w:tcW w:w="1370" w:type="dxa"/>
            <w:shd w:val="clear" w:color="auto" w:fill="FFFFFF"/>
            <w:noWrap/>
            <w:vAlign w:val="center"/>
          </w:tcPr>
          <w:p w14:paraId="218B18F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0.91</w:t>
            </w:r>
          </w:p>
        </w:tc>
      </w:tr>
      <w:tr w14:paraId="31455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3" w:hRule="atLeast"/>
          <w:jc w:val="center"/>
        </w:trPr>
        <w:tc>
          <w:tcPr>
            <w:tcW w:w="3453" w:type="dxa"/>
            <w:gridSpan w:val="2"/>
            <w:shd w:val="clear" w:color="auto" w:fill="FFFFFF"/>
            <w:noWrap/>
            <w:vAlign w:val="center"/>
          </w:tcPr>
          <w:p w14:paraId="771FD85B">
            <w:pPr>
              <w:spacing w:line="3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合计</w:t>
            </w:r>
          </w:p>
        </w:tc>
        <w:tc>
          <w:tcPr>
            <w:tcW w:w="1968" w:type="dxa"/>
            <w:shd w:val="clear" w:color="auto" w:fill="FFFFFF"/>
            <w:vAlign w:val="center"/>
          </w:tcPr>
          <w:p w14:paraId="7A6F80D0">
            <w:pPr>
              <w:keepNext w:val="0"/>
              <w:keepLines w:val="0"/>
              <w:widowControl/>
              <w:suppressLineNumbers w:val="0"/>
              <w:jc w:val="center"/>
              <w:textAlignment w:val="center"/>
              <w:rPr>
                <w:rFonts w:hint="default" w:ascii="Times New Roman" w:hAnsi="Times New Roman" w:cs="Times New Roman" w:eastAsiaTheme="minorEastAsia"/>
                <w:b/>
                <w:bCs/>
                <w:color w:val="auto"/>
                <w:sz w:val="22"/>
                <w:szCs w:val="22"/>
                <w:lang w:val="en-US" w:eastAsia="zh-CN"/>
              </w:rPr>
            </w:pPr>
            <w:r>
              <w:rPr>
                <w:rFonts w:hint="eastAsia" w:ascii="Times New Roman" w:hAnsi="Times New Roman" w:cs="Times New Roman"/>
                <w:b/>
                <w:bCs/>
                <w:color w:val="auto"/>
                <w:sz w:val="22"/>
                <w:szCs w:val="22"/>
                <w:lang w:val="en-US" w:eastAsia="zh-CN"/>
              </w:rPr>
              <w:t>36.5055</w:t>
            </w:r>
          </w:p>
        </w:tc>
        <w:tc>
          <w:tcPr>
            <w:tcW w:w="1744" w:type="dxa"/>
            <w:shd w:val="clear" w:color="auto" w:fill="FFFFFF"/>
            <w:vAlign w:val="center"/>
          </w:tcPr>
          <w:p w14:paraId="6D426835">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2"/>
                <w:szCs w:val="22"/>
                <w:u w:val="none"/>
                <w:lang w:val="en-US" w:eastAsia="zh-CN" w:bidi="ar"/>
              </w:rPr>
            </w:pPr>
            <w:r>
              <w:rPr>
                <w:rFonts w:hint="eastAsia" w:ascii="Times New Roman" w:hAnsi="Times New Roman" w:eastAsia="宋体" w:cs="Times New Roman"/>
                <w:b/>
                <w:bCs/>
                <w:i w:val="0"/>
                <w:iCs w:val="0"/>
                <w:color w:val="auto"/>
                <w:kern w:val="0"/>
                <w:sz w:val="22"/>
                <w:szCs w:val="22"/>
                <w:highlight w:val="none"/>
                <w:u w:val="none"/>
                <w:lang w:val="en-US" w:eastAsia="zh-CN" w:bidi="ar"/>
              </w:rPr>
              <w:t>2.9265</w:t>
            </w:r>
          </w:p>
        </w:tc>
        <w:tc>
          <w:tcPr>
            <w:tcW w:w="1370" w:type="dxa"/>
            <w:shd w:val="clear" w:color="auto" w:fill="FFFFFF"/>
            <w:noWrap/>
            <w:vAlign w:val="center"/>
          </w:tcPr>
          <w:p w14:paraId="27ED06EA">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2"/>
                <w:szCs w:val="22"/>
                <w:u w:val="none"/>
                <w:lang w:val="en-US" w:eastAsia="zh-CN" w:bidi="ar"/>
              </w:rPr>
            </w:pPr>
            <w:r>
              <w:rPr>
                <w:rFonts w:hint="eastAsia" w:ascii="Times New Roman" w:hAnsi="Times New Roman" w:eastAsia="宋体" w:cs="Times New Roman"/>
                <w:b/>
                <w:bCs/>
                <w:i w:val="0"/>
                <w:iCs w:val="0"/>
                <w:color w:val="auto"/>
                <w:kern w:val="0"/>
                <w:sz w:val="22"/>
                <w:szCs w:val="22"/>
                <w:u w:val="none"/>
                <w:lang w:val="en-US" w:eastAsia="zh-CN" w:bidi="ar"/>
              </w:rPr>
              <w:t>82.95</w:t>
            </w:r>
          </w:p>
        </w:tc>
      </w:tr>
    </w:tbl>
    <w:p w14:paraId="2BECCE9A">
      <w:pPr>
        <w:rPr>
          <w:rFonts w:hint="default" w:ascii="Times New Roman" w:hAnsi="Times New Roman" w:eastAsia="΢ȭхڢ; line-height:23px;" w:cs="Times New Roman"/>
          <w:sz w:val="32"/>
          <w:szCs w:val="32"/>
        </w:rPr>
      </w:pPr>
    </w:p>
    <w:p w14:paraId="4AECCCC9">
      <w:pPr>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14:paraId="622B70DE">
      <w:pPr>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广州市黄埔区人力资源和社会保障局</w:t>
      </w:r>
    </w:p>
    <w:p w14:paraId="1E40A79E">
      <w:pPr>
        <w:ind w:firstLine="640" w:firstLineChars="200"/>
        <w:jc w:val="cente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日</w:t>
      </w:r>
      <w:bookmarkStart w:id="0" w:name="_GoBack"/>
      <w:bookmarkEnd w:id="0"/>
    </w:p>
    <w:sectPr>
      <w:pgSz w:w="11906" w:h="16838"/>
      <w:pgMar w:top="1417" w:right="1474"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2AF0160-356B-49CA-A561-E029EA4819D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5ACEC8C0-2CA9-4381-A3C5-0C88904B3A27}"/>
  </w:font>
  <w:font w:name="仿宋_GB2312">
    <w:panose1 w:val="02010609030101010101"/>
    <w:charset w:val="86"/>
    <w:family w:val="modern"/>
    <w:pitch w:val="default"/>
    <w:sig w:usb0="00000001" w:usb1="080E0000" w:usb2="00000000" w:usb3="00000000" w:csb0="00040000" w:csb1="00000000"/>
    <w:embedRegular r:id="rId3" w:fontKey="{E6D1228D-8E43-406B-8C0D-8CA30AF636EC}"/>
  </w:font>
  <w:font w:name="΢ȭхڢ; line-height:23px;">
    <w:altName w:val="宋体"/>
    <w:panose1 w:val="00000000000000000000"/>
    <w:charset w:val="86"/>
    <w:family w:val="roman"/>
    <w:pitch w:val="default"/>
    <w:sig w:usb0="00000000" w:usb1="00000000" w:usb2="00000010" w:usb3="00000000" w:csb0="00040000" w:csb1="00000000"/>
    <w:embedRegular r:id="rId4" w:fontKey="{55A0A6E3-3318-475D-BE9B-A4D302BAC34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D47857"/>
    <w:multiLevelType w:val="singleLevel"/>
    <w:tmpl w:val="D2D4785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hOTJlM2Q4ZmI4NWZkYWY0YjAwYWY0NjYwYWMzMjYifQ=="/>
  </w:docVars>
  <w:rsids>
    <w:rsidRoot w:val="0B4B15E0"/>
    <w:rsid w:val="00C4504B"/>
    <w:rsid w:val="0204567E"/>
    <w:rsid w:val="023E64A2"/>
    <w:rsid w:val="05CB200E"/>
    <w:rsid w:val="06BA630B"/>
    <w:rsid w:val="077346EA"/>
    <w:rsid w:val="084D31AF"/>
    <w:rsid w:val="08D5567E"/>
    <w:rsid w:val="0A454A85"/>
    <w:rsid w:val="0A7F7F97"/>
    <w:rsid w:val="0AC41770"/>
    <w:rsid w:val="0B470389"/>
    <w:rsid w:val="0B4B15E0"/>
    <w:rsid w:val="0BC11EE9"/>
    <w:rsid w:val="0CD143AE"/>
    <w:rsid w:val="106C2D6C"/>
    <w:rsid w:val="12ED5A93"/>
    <w:rsid w:val="14F670A8"/>
    <w:rsid w:val="151F22E9"/>
    <w:rsid w:val="15E30DAF"/>
    <w:rsid w:val="16157A01"/>
    <w:rsid w:val="17DF06DD"/>
    <w:rsid w:val="181D1914"/>
    <w:rsid w:val="18B062E9"/>
    <w:rsid w:val="18DF60A5"/>
    <w:rsid w:val="1C581BD3"/>
    <w:rsid w:val="1D2422D8"/>
    <w:rsid w:val="1E5B1DB9"/>
    <w:rsid w:val="1F163820"/>
    <w:rsid w:val="1F884DA0"/>
    <w:rsid w:val="1FAD4807"/>
    <w:rsid w:val="2085046F"/>
    <w:rsid w:val="208D63E6"/>
    <w:rsid w:val="20B41BC5"/>
    <w:rsid w:val="20F94B52"/>
    <w:rsid w:val="215238B8"/>
    <w:rsid w:val="21CF11D0"/>
    <w:rsid w:val="232C59A7"/>
    <w:rsid w:val="241A4435"/>
    <w:rsid w:val="24B628A3"/>
    <w:rsid w:val="24C32C4D"/>
    <w:rsid w:val="26570980"/>
    <w:rsid w:val="26DD442F"/>
    <w:rsid w:val="2721598A"/>
    <w:rsid w:val="272B2046"/>
    <w:rsid w:val="29915199"/>
    <w:rsid w:val="2B520BCC"/>
    <w:rsid w:val="2BEE5883"/>
    <w:rsid w:val="2D3E73E6"/>
    <w:rsid w:val="2DA74F8B"/>
    <w:rsid w:val="2E310351"/>
    <w:rsid w:val="2F8D6403"/>
    <w:rsid w:val="2FCD4A51"/>
    <w:rsid w:val="2FE431A1"/>
    <w:rsid w:val="307F3F9D"/>
    <w:rsid w:val="30CE282F"/>
    <w:rsid w:val="32634CBB"/>
    <w:rsid w:val="351D1FD7"/>
    <w:rsid w:val="362C0724"/>
    <w:rsid w:val="36A24542"/>
    <w:rsid w:val="36F10EDD"/>
    <w:rsid w:val="370F76FD"/>
    <w:rsid w:val="390004EF"/>
    <w:rsid w:val="3B0320D5"/>
    <w:rsid w:val="3B055B59"/>
    <w:rsid w:val="3B5953EB"/>
    <w:rsid w:val="3B895CD0"/>
    <w:rsid w:val="3C0D4B53"/>
    <w:rsid w:val="3CB52AF5"/>
    <w:rsid w:val="3DF8713D"/>
    <w:rsid w:val="3E014244"/>
    <w:rsid w:val="3F724CCD"/>
    <w:rsid w:val="3FC30D44"/>
    <w:rsid w:val="42220C2D"/>
    <w:rsid w:val="42D53EF1"/>
    <w:rsid w:val="432B57DF"/>
    <w:rsid w:val="43CA157C"/>
    <w:rsid w:val="444430DC"/>
    <w:rsid w:val="470D3DEB"/>
    <w:rsid w:val="49B91E77"/>
    <w:rsid w:val="4A413C1A"/>
    <w:rsid w:val="4EB50A94"/>
    <w:rsid w:val="4EC05A55"/>
    <w:rsid w:val="4F7207DC"/>
    <w:rsid w:val="519F5DF6"/>
    <w:rsid w:val="53396D21"/>
    <w:rsid w:val="534C5B09"/>
    <w:rsid w:val="53B872F6"/>
    <w:rsid w:val="542C1497"/>
    <w:rsid w:val="550C37A2"/>
    <w:rsid w:val="55171365"/>
    <w:rsid w:val="572D17AE"/>
    <w:rsid w:val="5875340D"/>
    <w:rsid w:val="58DF55E1"/>
    <w:rsid w:val="5A146C55"/>
    <w:rsid w:val="5B94004E"/>
    <w:rsid w:val="5BB97AB4"/>
    <w:rsid w:val="5C1B076F"/>
    <w:rsid w:val="5CBF559E"/>
    <w:rsid w:val="5D667504"/>
    <w:rsid w:val="5DF94AE0"/>
    <w:rsid w:val="5E4A70E9"/>
    <w:rsid w:val="5EA01D75"/>
    <w:rsid w:val="5EBB3A06"/>
    <w:rsid w:val="61DC44FC"/>
    <w:rsid w:val="61F45A23"/>
    <w:rsid w:val="63230DB1"/>
    <w:rsid w:val="639B24D9"/>
    <w:rsid w:val="66D81A7B"/>
    <w:rsid w:val="67533560"/>
    <w:rsid w:val="67BC7440"/>
    <w:rsid w:val="686A0AB4"/>
    <w:rsid w:val="69777C99"/>
    <w:rsid w:val="6AA933EA"/>
    <w:rsid w:val="6B0F14E4"/>
    <w:rsid w:val="6D9B526C"/>
    <w:rsid w:val="6DD4077E"/>
    <w:rsid w:val="6E080427"/>
    <w:rsid w:val="6F073BDA"/>
    <w:rsid w:val="6F6A1399"/>
    <w:rsid w:val="6FEC1DAE"/>
    <w:rsid w:val="711836F3"/>
    <w:rsid w:val="72C139C6"/>
    <w:rsid w:val="73683E42"/>
    <w:rsid w:val="73D019E7"/>
    <w:rsid w:val="74104FD5"/>
    <w:rsid w:val="741661E7"/>
    <w:rsid w:val="7420296E"/>
    <w:rsid w:val="7645046A"/>
    <w:rsid w:val="77B94246"/>
    <w:rsid w:val="78186E91"/>
    <w:rsid w:val="7A3E01CB"/>
    <w:rsid w:val="7ADF3369"/>
    <w:rsid w:val="7B157FA3"/>
    <w:rsid w:val="7B597A93"/>
    <w:rsid w:val="7BDA01F8"/>
    <w:rsid w:val="7BEE1BB0"/>
    <w:rsid w:val="7EAA68E4"/>
    <w:rsid w:val="7F193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1019</Words>
  <Characters>1162</Characters>
  <Lines>0</Lines>
  <Paragraphs>0</Paragraphs>
  <TotalTime>4</TotalTime>
  <ScaleCrop>false</ScaleCrop>
  <LinksUpToDate>false</LinksUpToDate>
  <CharactersWithSpaces>1209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2022-01-24T06:21:00Z</dcterms:created>
  <dc:creator>回忆か~捉不到</dc:creator>
  <cp:lastModifiedBy>∰※ⅲ</cp:lastModifiedBy>
  <cp:lastPrinted>2022-09-01T06:19:00Z</cp:lastPrinted>
  <dcterms:modified xsi:type="dcterms:W3CDTF">2024-10-09T03:21:59Z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E3871CC0A26D4F43ADF65FE0B46EDFB7</vt:lpwstr>
  </property>
</Properties>
</file>