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Times New Roman" w:hAnsi="Times New Roman" w:eastAsia="方正小标宋简体" w:cs="Times New Roman"/>
          <w:sz w:val="44"/>
          <w:szCs w:val="44"/>
        </w:rPr>
      </w:pPr>
    </w:p>
    <w:p>
      <w:pPr>
        <w:spacing w:line="520" w:lineRule="exact"/>
        <w:jc w:val="center"/>
        <w:rPr>
          <w:rFonts w:ascii="Times New Roman" w:hAnsi="Times New Roman" w:eastAsia="方正小标宋简体" w:cs="Times New Roman"/>
          <w:sz w:val="44"/>
          <w:szCs w:val="44"/>
        </w:rPr>
      </w:pPr>
    </w:p>
    <w:p>
      <w:pPr>
        <w:spacing w:line="520" w:lineRule="exact"/>
        <w:jc w:val="center"/>
        <w:rPr>
          <w:rFonts w:ascii="Times New Roman" w:hAnsi="Times New Roman" w:eastAsia="方正小标宋简体" w:cs="Times New Roman"/>
          <w:sz w:val="44"/>
          <w:szCs w:val="44"/>
        </w:rPr>
      </w:pPr>
    </w:p>
    <w:p>
      <w:pPr>
        <w:spacing w:line="52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广州市花都区2024年度第六十批次</w:t>
      </w:r>
      <w:r>
        <w:rPr>
          <w:rFonts w:ascii="Times New Roman" w:hAnsi="Times New Roman" w:eastAsia="方正小标宋简体" w:cs="Times New Roman"/>
          <w:sz w:val="44"/>
          <w:szCs w:val="44"/>
        </w:rPr>
        <w:t>城镇建设用地（</w:t>
      </w:r>
      <w:r>
        <w:rPr>
          <w:rFonts w:hint="eastAsia" w:ascii="Times New Roman" w:hAnsi="Times New Roman" w:eastAsia="方正小标宋简体" w:cs="Times New Roman"/>
          <w:sz w:val="44"/>
          <w:szCs w:val="44"/>
        </w:rPr>
        <w:t>花都区茶塘村村镇工业集聚</w:t>
      </w:r>
    </w:p>
    <w:p>
      <w:pPr>
        <w:spacing w:line="52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区改造项目一期储备地块（低效用地）</w:t>
      </w:r>
      <w:r>
        <w:rPr>
          <w:rFonts w:ascii="Times New Roman" w:hAnsi="Times New Roman" w:eastAsia="方正小标宋简体" w:cs="Times New Roman"/>
          <w:sz w:val="44"/>
          <w:szCs w:val="44"/>
        </w:rPr>
        <w:t>）</w:t>
      </w:r>
    </w:p>
    <w:p>
      <w:pPr>
        <w:spacing w:line="52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的征地补偿安置方案</w:t>
      </w:r>
    </w:p>
    <w:p>
      <w:pPr>
        <w:spacing w:line="520" w:lineRule="exact"/>
        <w:ind w:firstLine="640" w:firstLineChars="200"/>
        <w:rPr>
          <w:rFonts w:ascii="Times New Roman" w:hAnsi="Times New Roman" w:eastAsia="仿宋_GB2312" w:cs="Times New Roman"/>
          <w:sz w:val="32"/>
          <w:szCs w:val="32"/>
        </w:rPr>
      </w:pPr>
    </w:p>
    <w:p>
      <w:p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szCs w:val="32"/>
        </w:rPr>
        <w:t>炭步镇</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广州市花都区炭步镇茶塘经济联合社，第一经济合作社，第二经济合作社，第一经济合作社、第二经济合作社（共有），第三经济合作社、第四经济合作社（共有），第五经济合作社</w:t>
      </w:r>
      <w:r>
        <w:rPr>
          <w:rFonts w:ascii="Times New Roman" w:hAnsi="Times New Roman" w:eastAsia="仿宋_GB2312" w:cs="Times New Roman"/>
          <w:sz w:val="32"/>
        </w:rPr>
        <w:t>属下的集体土地</w:t>
      </w:r>
      <w:r>
        <w:rPr>
          <w:rFonts w:hint="eastAsia" w:ascii="Times New Roman" w:hAnsi="Times New Roman" w:eastAsia="仿宋_GB2312" w:cs="Times New Roman"/>
          <w:sz w:val="32"/>
        </w:rPr>
        <w:t>8.7564公顷。</w:t>
      </w:r>
      <w:r>
        <w:rPr>
          <w:rFonts w:ascii="Times New Roman" w:hAnsi="Times New Roman" w:eastAsia="仿宋_GB2312" w:cs="Times New Roman"/>
          <w:sz w:val="32"/>
          <w:szCs w:val="32"/>
        </w:rPr>
        <w:t>根据《中华人民共和国土地管理法》第二条、四十五条、第四十七条，《中华人民共和国土地管理法实施条例》第二十七条、第二十八条，以及《广东省土地管理条例》第三十条等规定，结合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pPr>
        <w:numPr>
          <w:ilvl w:val="255"/>
          <w:numId w:val="0"/>
        </w:numPr>
        <w:spacing w:line="52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pPr>
        <w:numPr>
          <w:ilvl w:val="255"/>
          <w:numId w:val="0"/>
        </w:numPr>
        <w:spacing w:line="52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bookmarkStart w:id="1" w:name="_Hlk168324680"/>
      <w:bookmarkStart w:id="2" w:name="_Hlk155720491"/>
      <w:r>
        <w:rPr>
          <w:rFonts w:hint="eastAsia" w:ascii="Times New Roman" w:hAnsi="Times New Roman" w:eastAsia="仿宋_GB2312" w:cs="Times New Roman"/>
          <w:sz w:val="32"/>
          <w:szCs w:val="32"/>
        </w:rPr>
        <w:t>广州市花都区炭步镇茶塘经济联合社，第一经济合作社，第二经济合作社，第一经济合作社、第二经济合作社（共有），第三经济合作社、第四经济合作社（共有）</w:t>
      </w:r>
      <w:bookmarkEnd w:id="1"/>
      <w:bookmarkEnd w:id="2"/>
      <w:r>
        <w:rPr>
          <w:rFonts w:hint="eastAsia" w:ascii="Times New Roman" w:hAnsi="Times New Roman" w:eastAsia="仿宋_GB2312" w:cs="Times New Roman"/>
          <w:sz w:val="32"/>
          <w:szCs w:val="32"/>
        </w:rPr>
        <w:t>，第五经济合作社</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pPr>
        <w:numPr>
          <w:ilvl w:val="255"/>
          <w:numId w:val="0"/>
        </w:numPr>
        <w:spacing w:line="520" w:lineRule="exact"/>
        <w:ind w:firstLine="640" w:firstLineChars="200"/>
        <w:rPr>
          <w:rFonts w:ascii="Times New Roman" w:hAnsi="Times New Roman" w:eastAsia="仿宋_GB2312" w:cs="Times New Roman"/>
          <w:bCs/>
          <w:sz w:val="32"/>
          <w:szCs w:val="32"/>
        </w:rPr>
      </w:pPr>
      <w:bookmarkStart w:id="6" w:name="_GoBack"/>
      <w:bookmarkEnd w:id="6"/>
    </w:p>
    <w:p>
      <w:pPr>
        <w:numPr>
          <w:ilvl w:val="255"/>
          <w:numId w:val="0"/>
        </w:numPr>
        <w:spacing w:line="52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pPr>
        <w:numPr>
          <w:ilvl w:val="255"/>
          <w:numId w:val="0"/>
        </w:numPr>
        <w:spacing w:line="520" w:lineRule="exact"/>
        <w:ind w:firstLine="640" w:firstLineChars="200"/>
        <w:rPr>
          <w:rFonts w:ascii="Times New Roman" w:hAnsi="Times New Roman" w:eastAsia="仿宋_GB2312" w:cs="Times New Roman"/>
          <w:bCs/>
          <w:sz w:val="32"/>
          <w:szCs w:val="32"/>
        </w:rPr>
      </w:pPr>
      <w:bookmarkStart w:id="3" w:name="_Hlk142467650"/>
      <w:r>
        <w:rPr>
          <w:rFonts w:ascii="Times New Roman" w:hAnsi="Times New Roman" w:eastAsia="仿宋_GB2312" w:cs="Times New Roman"/>
          <w:bCs/>
          <w:sz w:val="32"/>
          <w:szCs w:val="32"/>
        </w:rPr>
        <w:t>根据《中华人民共和国土地管理法》第四十五条的规定，本次征收土地目的</w:t>
      </w:r>
      <w:r>
        <w:rPr>
          <w:rFonts w:hint="eastAsia" w:ascii="Times New Roman" w:hAnsi="Times New Roman" w:eastAsia="仿宋_GB2312" w:cs="Times New Roman"/>
          <w:bCs/>
          <w:sz w:val="32"/>
          <w:szCs w:val="32"/>
        </w:rPr>
        <w:t>为，为了公共利益的需要，由政府组织实施的成片开发建设需要用地。</w:t>
      </w:r>
    </w:p>
    <w:bookmarkEnd w:id="3"/>
    <w:p>
      <w:pPr>
        <w:numPr>
          <w:ilvl w:val="255"/>
          <w:numId w:val="0"/>
        </w:numPr>
        <w:spacing w:line="52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pPr>
        <w:numPr>
          <w:ilvl w:val="255"/>
          <w:numId w:val="0"/>
        </w:num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pPr>
        <w:numPr>
          <w:ilvl w:val="0"/>
          <w:numId w:val="1"/>
        </w:numPr>
        <w:spacing w:line="520" w:lineRule="exact"/>
        <w:ind w:firstLine="640" w:firstLineChars="200"/>
        <w:rPr>
          <w:rFonts w:ascii="Times New Roman" w:hAnsi="Times New Roman" w:eastAsia="仿宋_GB2312" w:cs="Times New Roman"/>
          <w:sz w:val="32"/>
          <w:szCs w:val="32"/>
        </w:rPr>
      </w:pPr>
      <w:bookmarkStart w:id="4" w:name="_Hlk155255234"/>
      <w:r>
        <w:rPr>
          <w:rFonts w:hint="eastAsia" w:ascii="Times New Roman" w:hAnsi="Times New Roman" w:eastAsia="仿宋_GB2312" w:cs="Times New Roman"/>
          <w:sz w:val="32"/>
          <w:szCs w:val="32"/>
        </w:rPr>
        <w:t>拟征收广州市花都区炭步镇茶塘经济联合社，第一经济合作社，第二经济合作社，第一经济合作社、第二经济合作社（共有），第三经济合作社、第四经济合作社（共有），第五经济合作社集体所有土地8.7564公顷（131.3460亩），其中建设用地8.7564公顷（131.3460亩），不涉及农用地和未利用地；</w:t>
      </w:r>
    </w:p>
    <w:bookmarkEnd w:id="4"/>
    <w:p>
      <w:pPr>
        <w:numPr>
          <w:ilvl w:val="255"/>
          <w:numId w:val="0"/>
        </w:numPr>
        <w:spacing w:line="52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pPr>
        <w:numPr>
          <w:ilvl w:val="255"/>
          <w:numId w:val="0"/>
        </w:num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（一）土地补偿费和安置补助费标准</w:t>
      </w:r>
    </w:p>
    <w:p>
      <w:pPr>
        <w:numPr>
          <w:ilvl w:val="255"/>
          <w:numId w:val="0"/>
        </w:numPr>
        <w:spacing w:line="52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根据《</w:t>
      </w:r>
      <w:bookmarkStart w:id="5" w:name="_Hlk161302113"/>
      <w:r>
        <w:rPr>
          <w:rFonts w:hint="eastAsia" w:ascii="Times New Roman" w:hAnsi="Times New Roman" w:eastAsia="仿宋_GB2312" w:cs="Times New Roman"/>
          <w:sz w:val="32"/>
          <w:szCs w:val="32"/>
        </w:rPr>
        <w:t>广东省自然资源厅关于广州市征收农用地区片综合地价成果的批复</w:t>
      </w:r>
      <w:bookmarkEnd w:id="5"/>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2024〕103号</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的规定，建设用地土地补偿标准为</w:t>
      </w:r>
      <w:r>
        <w:rPr>
          <w:rFonts w:hint="eastAsia" w:ascii="Times New Roman" w:hAnsi="Times New Roman" w:eastAsia="仿宋_GB2312" w:cs="Times New Roman"/>
          <w:sz w:val="32"/>
          <w:szCs w:val="32"/>
        </w:rPr>
        <w:t>165</w:t>
      </w:r>
      <w:r>
        <w:rPr>
          <w:rFonts w:ascii="Times New Roman" w:hAnsi="Times New Roman" w:eastAsia="仿宋_GB2312" w:cs="Times New Roman"/>
          <w:sz w:val="32"/>
          <w:szCs w:val="32"/>
        </w:rPr>
        <w:t>万/公顷</w:t>
      </w:r>
      <w:r>
        <w:rPr>
          <w:rFonts w:hint="eastAsia" w:ascii="Times New Roman" w:hAnsi="Times New Roman" w:eastAsia="仿宋_GB2312" w:cs="Times New Roman"/>
          <w:sz w:val="32"/>
          <w:szCs w:val="32"/>
        </w:rPr>
        <w:t>。</w:t>
      </w:r>
    </w:p>
    <w:p>
      <w:pPr>
        <w:numPr>
          <w:ilvl w:val="255"/>
          <w:numId w:val="0"/>
        </w:num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w:t>
      </w:r>
      <w:r>
        <w:rPr>
          <w:rFonts w:ascii="Times New Roman" w:hAnsi="Times New Roman" w:eastAsia="仿宋_GB2312" w:cs="Times New Roman"/>
          <w:sz w:val="32"/>
          <w:szCs w:val="32"/>
        </w:rPr>
        <w:t>补偿</w:t>
      </w:r>
    </w:p>
    <w:p>
      <w:pPr>
        <w:numPr>
          <w:ilvl w:val="255"/>
          <w:numId w:val="0"/>
        </w:numPr>
        <w:spacing w:line="52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本次征地不涉及农村村民住宅补偿。</w:t>
      </w:r>
    </w:p>
    <w:p>
      <w:pPr>
        <w:numPr>
          <w:ilvl w:val="255"/>
          <w:numId w:val="0"/>
        </w:numPr>
        <w:spacing w:line="52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（三）青苗及其他地上附着物补偿</w:t>
      </w:r>
    </w:p>
    <w:p>
      <w:pPr>
        <w:numPr>
          <w:ilvl w:val="255"/>
          <w:numId w:val="0"/>
        </w:numPr>
        <w:spacing w:line="52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青苗及其他地上附着物补偿参照《广州市花都区人民政府办公室印发花都区片区征地包干补偿工作方案的通知</w:t>
      </w:r>
      <w:r>
        <w:rPr>
          <w:rFonts w:ascii="Times New Roman" w:hAnsi="Times New Roman" w:eastAsia="仿宋_GB2312" w:cs="Times New Roman"/>
          <w:sz w:val="32"/>
          <w:szCs w:val="32"/>
        </w:rPr>
        <w:t>》（花府办</w:t>
      </w:r>
      <w:r>
        <w:rPr>
          <w:rFonts w:hint="eastAsia" w:ascii="Times New Roman" w:hAnsi="Times New Roman" w:eastAsia="仿宋_GB2312" w:cs="Times New Roman"/>
          <w:sz w:val="32"/>
          <w:szCs w:val="32"/>
        </w:rPr>
        <w:t>〔</w:t>
      </w:r>
      <w:r>
        <w:rPr>
          <w:rFonts w:ascii="Times New Roman" w:hAnsi="Times New Roman" w:eastAsia="仿宋" w:cs="Times New Roman"/>
          <w:sz w:val="32"/>
          <w:szCs w:val="32"/>
        </w:rPr>
        <w:t>2016</w:t>
      </w: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rPr>
        <w:t>号</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的规定执行</w:t>
      </w:r>
      <w:r>
        <w:rPr>
          <w:rFonts w:ascii="Times New Roman" w:hAnsi="Times New Roman" w:eastAsia="仿宋_GB2312" w:cs="Times New Roman"/>
          <w:sz w:val="32"/>
          <w:szCs w:val="32"/>
        </w:rPr>
        <w:t>。</w:t>
      </w:r>
    </w:p>
    <w:p>
      <w:pPr>
        <w:numPr>
          <w:ilvl w:val="255"/>
          <w:numId w:val="0"/>
        </w:numPr>
        <w:spacing w:line="52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五、安置对象</w:t>
      </w:r>
    </w:p>
    <w:p>
      <w:pPr>
        <w:numPr>
          <w:ilvl w:val="255"/>
          <w:numId w:val="0"/>
        </w:num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pPr>
        <w:numPr>
          <w:ilvl w:val="255"/>
          <w:numId w:val="0"/>
        </w:numPr>
        <w:spacing w:line="52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六、安置方式和社会保障</w:t>
      </w:r>
    </w:p>
    <w:p>
      <w:pPr>
        <w:numPr>
          <w:ilvl w:val="255"/>
          <w:numId w:val="0"/>
        </w:num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（一）货币安置。所需费用已包含在土地补偿安置费中。</w:t>
      </w:r>
    </w:p>
    <w:p>
      <w:pPr>
        <w:numPr>
          <w:ilvl w:val="255"/>
          <w:numId w:val="0"/>
        </w:num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（二）留用地安置。</w:t>
      </w:r>
      <w:r>
        <w:rPr>
          <w:rFonts w:hint="eastAsia" w:ascii="Times New Roman" w:hAnsi="Times New Roman" w:eastAsia="仿宋_GB2312" w:cs="Times New Roman"/>
          <w:sz w:val="32"/>
          <w:szCs w:val="32"/>
        </w:rPr>
        <w:t>根据《印发广东省征收农村集体土地留用地管理办法（试行）的通知》（粤府办〔</w:t>
      </w:r>
      <w:r>
        <w:rPr>
          <w:rFonts w:ascii="Times New Roman" w:hAnsi="Times New Roman" w:eastAsia="仿宋_GB2312" w:cs="Times New Roman"/>
          <w:sz w:val="32"/>
          <w:szCs w:val="32"/>
        </w:rPr>
        <w:t>2009〕41号）、《广东省人民政府办公厅关于加强征收农村集体土地留用地安置管理工作的意见》（粤府办〔2016〕30号），按实际征收土地面积的10%安排留用地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留用地兑现方式为实物留地。</w:t>
      </w:r>
    </w:p>
    <w:p>
      <w:pPr>
        <w:numPr>
          <w:ilvl w:val="255"/>
          <w:numId w:val="0"/>
        </w:numPr>
        <w:spacing w:line="52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sz w:val="32"/>
          <w:szCs w:val="32"/>
        </w:rPr>
        <w:t>（三）社会保障费用。根据《广东省人民政府办公厅转发省人力资源社会保障厅关于进一步完善我省被征地农民养老保障政策意见的通知》（粤府办〔2021〕22号）规定，核定该项目按2.14</w:t>
      </w:r>
      <w:r>
        <w:rPr>
          <w:rFonts w:hint="eastAsia" w:ascii="Times New Roman" w:hAnsi="Times New Roman" w:eastAsia="仿宋_GB2312" w:cs="Times New Roman"/>
          <w:sz w:val="32"/>
          <w:szCs w:val="32"/>
        </w:rPr>
        <w:t>万元/亩的</w:t>
      </w:r>
      <w:r>
        <w:rPr>
          <w:rFonts w:ascii="Times New Roman" w:hAnsi="Times New Roman" w:eastAsia="仿宋_GB2312" w:cs="Times New Roman"/>
          <w:sz w:val="32"/>
          <w:szCs w:val="32"/>
        </w:rPr>
        <w:t>标准一次性</w:t>
      </w:r>
      <w:r>
        <w:rPr>
          <w:rFonts w:hint="eastAsia" w:ascii="Times New Roman" w:hAnsi="Times New Roman" w:eastAsia="仿宋_GB2312" w:cs="Times New Roman"/>
          <w:sz w:val="32"/>
          <w:szCs w:val="32"/>
        </w:rPr>
        <w:t>将</w:t>
      </w:r>
      <w:r>
        <w:rPr>
          <w:rFonts w:ascii="Times New Roman" w:hAnsi="Times New Roman" w:eastAsia="仿宋_GB2312" w:cs="Times New Roman"/>
          <w:sz w:val="32"/>
          <w:szCs w:val="32"/>
        </w:rPr>
        <w:t>集体被征地农民养老保障资金存入“收缴被征地农民养老保障资金过渡户”，费用合计</w:t>
      </w:r>
      <w:r>
        <w:rPr>
          <w:rFonts w:hint="eastAsia" w:ascii="Times New Roman" w:hAnsi="Times New Roman" w:eastAsia="仿宋_GB2312" w:cs="Times New Roman"/>
          <w:sz w:val="32"/>
          <w:szCs w:val="32"/>
          <w:highlight w:val="none"/>
          <w:lang w:val="en-US" w:eastAsia="zh-CN"/>
        </w:rPr>
        <w:t>281.11</w:t>
      </w:r>
      <w:r>
        <w:rPr>
          <w:rFonts w:ascii="Times New Roman" w:hAnsi="Times New Roman" w:eastAsia="仿宋_GB2312" w:cs="Times New Roman"/>
          <w:sz w:val="32"/>
          <w:szCs w:val="32"/>
        </w:rPr>
        <w:t>万元，专款用于被征地农民缴纳养老保险费用。征地批准文件批复的实际范围有变化的，</w:t>
      </w:r>
      <w:r>
        <w:rPr>
          <w:rFonts w:ascii="Times New Roman" w:hAnsi="Times New Roman" w:eastAsia="仿宋_GB2312" w:cs="Times New Roman"/>
          <w:bCs/>
          <w:sz w:val="32"/>
          <w:szCs w:val="32"/>
        </w:rPr>
        <w:t>费用将做相应调整。</w:t>
      </w:r>
    </w:p>
    <w:p>
      <w:pPr>
        <w:numPr>
          <w:ilvl w:val="255"/>
          <w:numId w:val="0"/>
        </w:numPr>
        <w:spacing w:line="520" w:lineRule="exact"/>
        <w:ind w:firstLine="640" w:firstLineChars="200"/>
        <w:rPr>
          <w:rFonts w:ascii="Times New Roman" w:hAnsi="Times New Roman" w:eastAsia="仿宋_GB2312" w:cs="Times New Roman"/>
          <w:bCs/>
          <w:sz w:val="32"/>
          <w:szCs w:val="32"/>
        </w:rPr>
      </w:pPr>
    </w:p>
    <w:p>
      <w:pPr>
        <w:numPr>
          <w:ilvl w:val="255"/>
          <w:numId w:val="0"/>
        </w:numPr>
        <w:spacing w:line="520" w:lineRule="exact"/>
        <w:ind w:firstLine="640" w:firstLineChars="200"/>
        <w:rPr>
          <w:rFonts w:ascii="Times New Roman" w:hAnsi="Times New Roman" w:eastAsia="仿宋_GB2312" w:cs="Times New Roman"/>
          <w:bCs/>
          <w:sz w:val="32"/>
          <w:szCs w:val="32"/>
        </w:rPr>
      </w:pPr>
    </w:p>
    <w:p>
      <w:pPr>
        <w:numPr>
          <w:ilvl w:val="255"/>
          <w:numId w:val="0"/>
        </w:numPr>
        <w:spacing w:line="520" w:lineRule="exact"/>
        <w:ind w:firstLine="640" w:firstLineChars="200"/>
        <w:rPr>
          <w:rFonts w:ascii="Times New Roman" w:hAnsi="Times New Roman" w:eastAsia="仿宋_GB2312" w:cs="Times New Roman"/>
          <w:bCs/>
          <w:sz w:val="32"/>
          <w:szCs w:val="32"/>
        </w:rPr>
      </w:pPr>
    </w:p>
    <w:p>
      <w:pPr>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pPr>
        <w:wordWrap w:val="0"/>
        <w:spacing w:line="520" w:lineRule="exact"/>
        <w:ind w:right="320"/>
        <w:jc w:val="center"/>
        <w:rPr>
          <w:rFonts w:ascii="Times New Roman" w:hAnsi="Times New Roman" w:cs="Times New Roman"/>
        </w:rP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2024年</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14</w:t>
      </w:r>
      <w:r>
        <w:rPr>
          <w:rFonts w:ascii="Times New Roman" w:hAnsi="Times New Roman" w:eastAsia="仿宋_GB2312" w:cs="Times New Roman"/>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02E68CD-BF09-4D5F-9DCC-0E117885531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embedRegular r:id="rId2" w:fontKey="{F5CFEFD5-3B71-4EBC-AD7E-8DAC1078C64E}"/>
  </w:font>
  <w:font w:name="方正小标宋简体">
    <w:panose1 w:val="03000509000000000000"/>
    <w:charset w:val="86"/>
    <w:family w:val="script"/>
    <w:pitch w:val="default"/>
    <w:sig w:usb0="00000001" w:usb1="080E0000" w:usb2="00000000" w:usb3="00000000" w:csb0="00040000" w:csb1="00000000"/>
    <w:embedRegular r:id="rId3" w:fontKey="{057AB45C-C58F-4FBA-9C1A-5C88C47FEFC4}"/>
  </w:font>
  <w:font w:name="仿宋_GB2312">
    <w:panose1 w:val="02010609030101010101"/>
    <w:charset w:val="86"/>
    <w:family w:val="modern"/>
    <w:pitch w:val="default"/>
    <w:sig w:usb0="00000001" w:usb1="080E0000" w:usb2="00000000" w:usb3="00000000" w:csb0="00040000" w:csb1="00000000"/>
    <w:embedRegular r:id="rId4" w:fontKey="{7A6395C3-2756-4540-952C-6A3AC7BF4C0B}"/>
  </w:font>
  <w:font w:name="仿宋">
    <w:panose1 w:val="02010609060101010101"/>
    <w:charset w:val="86"/>
    <w:family w:val="modern"/>
    <w:pitch w:val="default"/>
    <w:sig w:usb0="800002BF" w:usb1="38CF7CFA" w:usb2="00000016" w:usb3="00000000" w:csb0="00040001" w:csb1="00000000"/>
    <w:embedRegular r:id="rId5" w:fontKey="{2EA62A2F-D88C-44A5-87B0-2DCA430EEC6E}"/>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BC44BC"/>
    <w:multiLevelType w:val="singleLevel"/>
    <w:tmpl w:val="9EBC44B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kN2U0NTE2ZWZjNGNkOGYwMTY5ODIwZjEyYjUxNGMifQ=="/>
  </w:docVars>
  <w:rsids>
    <w:rsidRoot w:val="000F4B96"/>
    <w:rsid w:val="00036749"/>
    <w:rsid w:val="00072859"/>
    <w:rsid w:val="00082361"/>
    <w:rsid w:val="000B145B"/>
    <w:rsid w:val="000D4B79"/>
    <w:rsid w:val="000E5884"/>
    <w:rsid w:val="000F4B96"/>
    <w:rsid w:val="0015098A"/>
    <w:rsid w:val="00163993"/>
    <w:rsid w:val="00164ED0"/>
    <w:rsid w:val="00177C23"/>
    <w:rsid w:val="0018297B"/>
    <w:rsid w:val="001947BC"/>
    <w:rsid w:val="001A344A"/>
    <w:rsid w:val="001A469B"/>
    <w:rsid w:val="001B07D1"/>
    <w:rsid w:val="002231C2"/>
    <w:rsid w:val="00234876"/>
    <w:rsid w:val="00272022"/>
    <w:rsid w:val="00281F6C"/>
    <w:rsid w:val="002B1663"/>
    <w:rsid w:val="0031459E"/>
    <w:rsid w:val="003173F7"/>
    <w:rsid w:val="00324AE5"/>
    <w:rsid w:val="00326331"/>
    <w:rsid w:val="00335BE3"/>
    <w:rsid w:val="00386225"/>
    <w:rsid w:val="003A6945"/>
    <w:rsid w:val="003A7453"/>
    <w:rsid w:val="003A7E44"/>
    <w:rsid w:val="003F5777"/>
    <w:rsid w:val="00416C7C"/>
    <w:rsid w:val="004231B2"/>
    <w:rsid w:val="0047585C"/>
    <w:rsid w:val="004969ED"/>
    <w:rsid w:val="004A1605"/>
    <w:rsid w:val="004B531D"/>
    <w:rsid w:val="004E6319"/>
    <w:rsid w:val="00531C37"/>
    <w:rsid w:val="00581B80"/>
    <w:rsid w:val="00584267"/>
    <w:rsid w:val="00596ED2"/>
    <w:rsid w:val="005F7BF5"/>
    <w:rsid w:val="00604E24"/>
    <w:rsid w:val="00654482"/>
    <w:rsid w:val="00680E37"/>
    <w:rsid w:val="0069527A"/>
    <w:rsid w:val="006958E6"/>
    <w:rsid w:val="006C7CB1"/>
    <w:rsid w:val="006F1593"/>
    <w:rsid w:val="00733448"/>
    <w:rsid w:val="0074592B"/>
    <w:rsid w:val="007C68CD"/>
    <w:rsid w:val="007F7339"/>
    <w:rsid w:val="00890FF9"/>
    <w:rsid w:val="008A128D"/>
    <w:rsid w:val="008A2C49"/>
    <w:rsid w:val="008E1164"/>
    <w:rsid w:val="009536EC"/>
    <w:rsid w:val="009540AA"/>
    <w:rsid w:val="00954428"/>
    <w:rsid w:val="00961FDE"/>
    <w:rsid w:val="009B1324"/>
    <w:rsid w:val="00A905AC"/>
    <w:rsid w:val="00AD53AF"/>
    <w:rsid w:val="00AD6E00"/>
    <w:rsid w:val="00AE2AB9"/>
    <w:rsid w:val="00B05D16"/>
    <w:rsid w:val="00B64AE2"/>
    <w:rsid w:val="00B70CD1"/>
    <w:rsid w:val="00B84848"/>
    <w:rsid w:val="00C05E90"/>
    <w:rsid w:val="00C4429A"/>
    <w:rsid w:val="00C53D10"/>
    <w:rsid w:val="00C555BB"/>
    <w:rsid w:val="00CB07E2"/>
    <w:rsid w:val="00CB6605"/>
    <w:rsid w:val="00D26F24"/>
    <w:rsid w:val="00D34160"/>
    <w:rsid w:val="00D67C50"/>
    <w:rsid w:val="00DA702D"/>
    <w:rsid w:val="00DD02D2"/>
    <w:rsid w:val="00E07D35"/>
    <w:rsid w:val="00E2743F"/>
    <w:rsid w:val="00E300BE"/>
    <w:rsid w:val="00E84953"/>
    <w:rsid w:val="00E93AF4"/>
    <w:rsid w:val="00EE681C"/>
    <w:rsid w:val="00F545F5"/>
    <w:rsid w:val="00F87166"/>
    <w:rsid w:val="00F91515"/>
    <w:rsid w:val="00FC4F3E"/>
    <w:rsid w:val="00FC530B"/>
    <w:rsid w:val="00FD6583"/>
    <w:rsid w:val="01D14551"/>
    <w:rsid w:val="034948B2"/>
    <w:rsid w:val="06307751"/>
    <w:rsid w:val="06D34497"/>
    <w:rsid w:val="070C644E"/>
    <w:rsid w:val="0CDC69F4"/>
    <w:rsid w:val="15336061"/>
    <w:rsid w:val="20C22F55"/>
    <w:rsid w:val="2D3A39CE"/>
    <w:rsid w:val="34BA79CA"/>
    <w:rsid w:val="3642627B"/>
    <w:rsid w:val="36DF4368"/>
    <w:rsid w:val="3AB52C3C"/>
    <w:rsid w:val="42ED2FB3"/>
    <w:rsid w:val="437F2DDD"/>
    <w:rsid w:val="43A538C3"/>
    <w:rsid w:val="44E83CAB"/>
    <w:rsid w:val="46F00C05"/>
    <w:rsid w:val="4823227C"/>
    <w:rsid w:val="485566E5"/>
    <w:rsid w:val="54DD5388"/>
    <w:rsid w:val="55A91E4F"/>
    <w:rsid w:val="5AD33AC5"/>
    <w:rsid w:val="5D77631A"/>
    <w:rsid w:val="5F1E20DB"/>
    <w:rsid w:val="5F451D15"/>
    <w:rsid w:val="62023622"/>
    <w:rsid w:val="62E66A23"/>
    <w:rsid w:val="67220062"/>
    <w:rsid w:val="6D2029C7"/>
    <w:rsid w:val="6DD52FE9"/>
    <w:rsid w:val="74BB5FFB"/>
    <w:rsid w:val="755B6D2B"/>
    <w:rsid w:val="76023CF9"/>
    <w:rsid w:val="76C573BD"/>
    <w:rsid w:val="76FE05CD"/>
    <w:rsid w:val="77E90A6E"/>
    <w:rsid w:val="7C9F7014"/>
    <w:rsid w:val="7D5C6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239</Words>
  <Characters>1364</Characters>
  <Lines>11</Lines>
  <Paragraphs>3</Paragraphs>
  <TotalTime>22</TotalTime>
  <ScaleCrop>false</ScaleCrop>
  <LinksUpToDate>false</LinksUpToDate>
  <CharactersWithSpaces>1600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陈湘鹏</cp:lastModifiedBy>
  <cp:lastPrinted>2024-01-04T03:01:00Z</cp:lastPrinted>
  <dcterms:modified xsi:type="dcterms:W3CDTF">2024-09-14T01:58:22Z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2358EB9B09164A52999EAADD46285719</vt:lpwstr>
  </property>
</Properties>
</file>