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附件2</w:t>
      </w:r>
    </w:p>
    <w:p>
      <w:pPr>
        <w:adjustRightInd w:val="0"/>
        <w:snapToGrid w:val="0"/>
        <w:jc w:val="center"/>
        <w:rPr>
          <w:rFonts w:ascii="Times New Roman" w:hAnsi="Times New Roman" w:eastAsia="方正小标宋简体" w:cs="Times New Roman"/>
          <w:color w:val="000000"/>
          <w:sz w:val="44"/>
          <w:szCs w:val="44"/>
        </w:rPr>
      </w:pPr>
    </w:p>
    <w:p>
      <w:pPr>
        <w:adjustRightInd w:val="0"/>
        <w:snapToGrid w:val="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w:t>
      </w:r>
      <w:r>
        <w:rPr>
          <w:rFonts w:ascii="Times New Roman" w:hAnsi="Times New Roman" w:eastAsia="方正小标宋简体" w:cs="Times New Roman"/>
          <w:sz w:val="44"/>
          <w:szCs w:val="44"/>
        </w:rPr>
        <w:t>广州市黄埔区（中新广州知识城）</w:t>
      </w:r>
      <w:r>
        <w:rPr>
          <w:rFonts w:hint="eastAsia"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4</w:t>
      </w:r>
      <w:r>
        <w:rPr>
          <w:rFonts w:hint="eastAsia"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年度第</w:t>
      </w:r>
      <w:r>
        <w:rPr>
          <w:rFonts w:hint="eastAsia" w:ascii="Times New Roman" w:hAnsi="Times New Roman" w:eastAsia="方正小标宋简体" w:cs="Times New Roman"/>
          <w:sz w:val="44"/>
          <w:szCs w:val="44"/>
          <w:lang w:val="en-US" w:eastAsia="zh-CN"/>
        </w:rPr>
        <w:t>五十一</w:t>
      </w:r>
      <w:r>
        <w:rPr>
          <w:rFonts w:hint="eastAsia" w:ascii="Times New Roman" w:hAnsi="Times New Roman" w:eastAsia="方正小标宋简体" w:cs="Times New Roman"/>
          <w:sz w:val="44"/>
          <w:szCs w:val="44"/>
          <w:lang w:eastAsia="zh-CN"/>
        </w:rPr>
        <w:t>批次</w:t>
      </w: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rPr>
        <w:t>项目</w:t>
      </w:r>
      <w:r>
        <w:rPr>
          <w:rFonts w:ascii="Times New Roman" w:hAnsi="Times New Roman" w:eastAsia="方正小标宋简体" w:cs="Times New Roman"/>
          <w:sz w:val="44"/>
          <w:szCs w:val="44"/>
        </w:rPr>
        <w:t>被征地</w:t>
      </w:r>
      <w:r>
        <w:rPr>
          <w:rFonts w:hint="eastAsia" w:ascii="Times New Roman" w:hAnsi="Times New Roman" w:eastAsia="方正小标宋简体" w:cs="Times New Roman"/>
          <w:sz w:val="44"/>
          <w:szCs w:val="44"/>
        </w:rPr>
        <w:t xml:space="preserve">     </w:t>
      </w:r>
      <w:r>
        <w:rPr>
          <w:rFonts w:ascii="Times New Roman" w:hAnsi="Times New Roman" w:eastAsia="方正小标宋简体" w:cs="Times New Roman"/>
          <w:sz w:val="44"/>
          <w:szCs w:val="44"/>
        </w:rPr>
        <w:t>农民养老保障方案</w:t>
      </w:r>
      <w:r>
        <w:rPr>
          <w:rFonts w:hint="eastAsia" w:ascii="Times New Roman" w:hAnsi="Times New Roman" w:eastAsia="方正小标宋简体" w:cs="Times New Roman"/>
          <w:sz w:val="44"/>
          <w:szCs w:val="44"/>
        </w:rPr>
        <w:t>(</w:t>
      </w:r>
      <w:r>
        <w:rPr>
          <w:rFonts w:hint="eastAsia" w:ascii="Times New Roman" w:hAnsi="Times New Roman" w:eastAsia="方正小标宋简体" w:cs="Times New Roman"/>
          <w:sz w:val="44"/>
          <w:szCs w:val="44"/>
          <w:lang w:eastAsia="zh-CN"/>
        </w:rPr>
        <w:t>181.5435亩</w:t>
      </w:r>
      <w:r>
        <w:rPr>
          <w:rFonts w:hint="eastAsia" w:ascii="Times New Roman" w:hAnsi="Times New Roman" w:eastAsia="方正小标宋简体" w:cs="Times New Roman"/>
          <w:sz w:val="44"/>
          <w:szCs w:val="44"/>
        </w:rPr>
        <w:t>)</w:t>
      </w:r>
    </w:p>
    <w:p>
      <w:pPr>
        <w:rPr>
          <w:rFonts w:ascii="Times New Roman" w:hAnsi="Times New Roman" w:eastAsia="仿宋_GB2312" w:cs="Times New Roman"/>
          <w:kern w:val="0"/>
          <w:szCs w:val="32"/>
        </w:rPr>
      </w:pPr>
    </w:p>
    <w:p>
      <w:pPr>
        <w:ind w:firstLine="640" w:firstLineChars="200"/>
        <w:jc w:val="left"/>
        <w:rPr>
          <w:rFonts w:ascii="Times New Roman" w:hAnsi="Times New Roman" w:eastAsia="仿宋_GB2312" w:cs="Times New Roman"/>
          <w:sz w:val="32"/>
          <w:szCs w:val="32"/>
          <w:u w:val="single"/>
        </w:rPr>
      </w:pPr>
      <w:r>
        <w:rPr>
          <w:rFonts w:hint="eastAsia" w:ascii="仿宋_GB2312" w:hAnsi="Times New Roman" w:eastAsia="仿宋_GB2312" w:cs="Times New Roman"/>
          <w:color w:val="000000"/>
          <w:kern w:val="0"/>
          <w:sz w:val="32"/>
          <w:szCs w:val="32"/>
          <w:shd w:val="clear" w:color="auto" w:fill="FFFFFF"/>
          <w:lang w:bidi="ar"/>
        </w:rPr>
        <w:t>依照</w:t>
      </w:r>
      <w:r>
        <w:rPr>
          <w:rFonts w:hint="eastAsia" w:ascii="仿宋_GB2312" w:hAnsi="Times New Roman" w:eastAsia="仿宋_GB2312" w:cs="Times New Roman"/>
          <w:sz w:val="32"/>
          <w:szCs w:val="32"/>
        </w:rPr>
        <w:t>《中华人民共和国土地管理法》、</w:t>
      </w:r>
      <w:r>
        <w:rPr>
          <w:rFonts w:hint="eastAsia" w:ascii="仿宋_GB2312" w:hAnsi="Times New Roman" w:eastAsia="仿宋_GB2312" w:cs="Times New Roman"/>
          <w:kern w:val="0"/>
          <w:sz w:val="32"/>
          <w:szCs w:val="32"/>
          <w:shd w:val="clear" w:color="auto" w:fill="FFFFFF"/>
          <w:lang w:bidi="ar"/>
        </w:rPr>
        <w:t>《关于切实做好被征地农民社会保障工作有关问题的通知》</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color w:val="000000"/>
          <w:kern w:val="0"/>
          <w:sz w:val="32"/>
          <w:szCs w:val="32"/>
          <w:shd w:val="clear" w:color="auto" w:fill="FFFFFF"/>
          <w:lang w:bidi="ar"/>
        </w:rPr>
        <w:t>劳社部发〔2007〕14号，下称劳社部发〔2007〕14号）</w:t>
      </w:r>
      <w:r>
        <w:rPr>
          <w:rFonts w:hint="eastAsia" w:ascii="Times New Roman" w:hAnsi="Times New Roman" w:eastAsia="仿宋_GB2312" w:cs="Times New Roman"/>
          <w:color w:val="000000"/>
          <w:kern w:val="0"/>
          <w:sz w:val="32"/>
          <w:szCs w:val="32"/>
          <w:shd w:val="clear" w:color="auto" w:fill="FFFFFF"/>
          <w:lang w:bidi="ar"/>
        </w:rPr>
        <w:t>、</w:t>
      </w:r>
      <w:r>
        <w:rPr>
          <w:rFonts w:ascii="Times New Roman" w:hAnsi="Times New Roman" w:eastAsia="仿宋_GB2312" w:cs="Times New Roman"/>
          <w:color w:val="000000"/>
          <w:kern w:val="0"/>
          <w:sz w:val="32"/>
          <w:szCs w:val="32"/>
          <w:shd w:val="clear" w:color="auto" w:fill="FFFFFF"/>
          <w:lang w:bidi="ar"/>
        </w:rPr>
        <w:t>《广东省人民政府办公厅转发省人力资源社会保障厅关于进一步完善我省被征地农民养老保障工作意见的通知》（粤府办〔2021〕22号）</w:t>
      </w:r>
      <w:r>
        <w:rPr>
          <w:rFonts w:hint="eastAsia" w:ascii="Times New Roman" w:hAnsi="Times New Roman" w:eastAsia="仿宋_GB2312" w:cs="Times New Roman"/>
          <w:color w:val="000000"/>
          <w:kern w:val="0"/>
          <w:sz w:val="32"/>
          <w:szCs w:val="32"/>
          <w:shd w:val="clear" w:color="auto" w:fill="FFFFFF"/>
          <w:lang w:bidi="ar"/>
        </w:rPr>
        <w:t>第八条、《广州市人民政府办公厅关于印发广州市城乡居民养老保险实施办法的通知》</w:t>
      </w:r>
      <w:r>
        <w:rPr>
          <w:rFonts w:ascii="Times New Roman" w:hAnsi="Times New Roman" w:eastAsia="仿宋_GB2312" w:cs="Times New Roman"/>
          <w:color w:val="000000"/>
          <w:kern w:val="0"/>
          <w:sz w:val="32"/>
          <w:szCs w:val="32"/>
          <w:shd w:val="clear" w:color="auto" w:fill="FFFFFF"/>
          <w:lang w:bidi="ar"/>
        </w:rPr>
        <w:t>（</w:t>
      </w:r>
      <w:r>
        <w:rPr>
          <w:rFonts w:hint="eastAsia" w:ascii="Times New Roman" w:hAnsi="Times New Roman" w:eastAsia="仿宋_GB2312" w:cs="Times New Roman"/>
          <w:color w:val="000000"/>
          <w:kern w:val="0"/>
          <w:sz w:val="32"/>
          <w:szCs w:val="32"/>
          <w:shd w:val="clear" w:color="auto" w:fill="FFFFFF"/>
          <w:lang w:bidi="ar"/>
        </w:rPr>
        <w:t>穗</w:t>
      </w:r>
      <w:r>
        <w:rPr>
          <w:rFonts w:ascii="Times New Roman" w:hAnsi="Times New Roman" w:eastAsia="仿宋_GB2312" w:cs="Times New Roman"/>
          <w:color w:val="000000"/>
          <w:kern w:val="0"/>
          <w:sz w:val="32"/>
          <w:szCs w:val="32"/>
          <w:shd w:val="clear" w:color="auto" w:fill="FFFFFF"/>
          <w:lang w:bidi="ar"/>
        </w:rPr>
        <w:t>府办</w:t>
      </w:r>
      <w:r>
        <w:rPr>
          <w:rFonts w:hint="eastAsia" w:ascii="Times New Roman" w:hAnsi="Times New Roman" w:eastAsia="仿宋_GB2312" w:cs="Times New Roman"/>
          <w:color w:val="000000"/>
          <w:kern w:val="0"/>
          <w:sz w:val="32"/>
          <w:szCs w:val="32"/>
          <w:shd w:val="clear" w:color="auto" w:fill="FFFFFF"/>
          <w:lang w:bidi="ar"/>
        </w:rPr>
        <w:t>规</w:t>
      </w:r>
      <w:r>
        <w:rPr>
          <w:rFonts w:ascii="Times New Roman" w:hAnsi="Times New Roman" w:eastAsia="仿宋_GB2312" w:cs="Times New Roman"/>
          <w:color w:val="000000"/>
          <w:kern w:val="0"/>
          <w:sz w:val="32"/>
          <w:szCs w:val="32"/>
          <w:shd w:val="clear" w:color="auto" w:fill="FFFFFF"/>
          <w:lang w:bidi="ar"/>
        </w:rPr>
        <w:t>〔2021〕</w:t>
      </w:r>
      <w:r>
        <w:rPr>
          <w:rFonts w:hint="eastAsia" w:ascii="Times New Roman" w:hAnsi="Times New Roman" w:eastAsia="仿宋_GB2312" w:cs="Times New Roman"/>
          <w:color w:val="000000"/>
          <w:kern w:val="0"/>
          <w:sz w:val="32"/>
          <w:szCs w:val="32"/>
          <w:shd w:val="clear" w:color="auto" w:fill="FFFFFF"/>
          <w:lang w:bidi="ar"/>
        </w:rPr>
        <w:t>8</w:t>
      </w:r>
      <w:r>
        <w:rPr>
          <w:rFonts w:ascii="Times New Roman" w:hAnsi="Times New Roman" w:eastAsia="仿宋_GB2312" w:cs="Times New Roman"/>
          <w:color w:val="000000"/>
          <w:kern w:val="0"/>
          <w:sz w:val="32"/>
          <w:szCs w:val="32"/>
          <w:shd w:val="clear" w:color="auto" w:fill="FFFFFF"/>
          <w:lang w:bidi="ar"/>
        </w:rPr>
        <w:t>号）</w:t>
      </w:r>
      <w:r>
        <w:rPr>
          <w:rFonts w:hint="eastAsia" w:ascii="Times New Roman" w:hAnsi="Times New Roman" w:eastAsia="仿宋_GB2312" w:cs="Times New Roman"/>
          <w:color w:val="000000"/>
          <w:kern w:val="0"/>
          <w:sz w:val="32"/>
          <w:szCs w:val="32"/>
          <w:shd w:val="clear" w:color="auto" w:fill="FFFFFF"/>
          <w:lang w:bidi="ar"/>
        </w:rPr>
        <w:t>第九条</w:t>
      </w:r>
      <w:r>
        <w:rPr>
          <w:rFonts w:ascii="Times New Roman" w:hAnsi="Times New Roman" w:eastAsia="仿宋_GB2312" w:cs="Times New Roman"/>
          <w:color w:val="000000"/>
          <w:kern w:val="0"/>
          <w:sz w:val="32"/>
          <w:szCs w:val="32"/>
          <w:shd w:val="clear" w:color="auto" w:fill="FFFFFF"/>
          <w:lang w:bidi="ar"/>
        </w:rPr>
        <w:t>等有关规定</w:t>
      </w:r>
      <w:r>
        <w:rPr>
          <w:rFonts w:ascii="Times New Roman" w:hAnsi="Times New Roman" w:eastAsia="仿宋_GB2312" w:cs="Times New Roman"/>
          <w:kern w:val="0"/>
          <w:sz w:val="32"/>
          <w:szCs w:val="32"/>
        </w:rPr>
        <w:t>，拟定</w:t>
      </w:r>
      <w:r>
        <w:rPr>
          <w:rFonts w:ascii="Times New Roman" w:hAnsi="Times New Roman" w:eastAsia="仿宋_GB2312" w:cs="Times New Roman"/>
          <w:sz w:val="32"/>
          <w:szCs w:val="32"/>
        </w:rPr>
        <w:t>广州市黄埔区（中新广州知识城）</w:t>
      </w:r>
      <w:r>
        <w:rPr>
          <w:rFonts w:hint="eastAsia" w:ascii="Times New Roman" w:hAnsi="Times New Roman" w:eastAsia="仿宋_GB2312" w:cs="Times New Roman"/>
          <w:sz w:val="32"/>
          <w:szCs w:val="32"/>
          <w:lang w:eastAsia="zh-CN"/>
        </w:rPr>
        <w:t>2024年度第五十一批次</w:t>
      </w:r>
      <w:r>
        <w:rPr>
          <w:rFonts w:ascii="Times New Roman" w:hAnsi="Times New Roman" w:eastAsia="仿宋_GB2312" w:cs="Times New Roman"/>
          <w:sz w:val="32"/>
          <w:szCs w:val="32"/>
        </w:rPr>
        <w:t>城镇建设用地</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181.5435亩</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被征地农民养老</w:t>
      </w:r>
      <w:r>
        <w:rPr>
          <w:rFonts w:ascii="Times New Roman" w:hAnsi="Times New Roman" w:eastAsia="仿宋_GB2312" w:cs="Times New Roman"/>
          <w:kern w:val="0"/>
          <w:sz w:val="32"/>
          <w:szCs w:val="32"/>
        </w:rPr>
        <w:t>保障</w:t>
      </w:r>
      <w:r>
        <w:rPr>
          <w:rFonts w:ascii="Times New Roman" w:hAnsi="Times New Roman" w:eastAsia="仿宋_GB2312" w:cs="Times New Roman"/>
          <w:sz w:val="32"/>
          <w:szCs w:val="32"/>
        </w:rPr>
        <w:t>方案</w:t>
      </w:r>
      <w:r>
        <w:rPr>
          <w:rFonts w:ascii="Times New Roman" w:hAnsi="Times New Roman" w:eastAsia="仿宋_GB2312" w:cs="Times New Roman"/>
          <w:kern w:val="0"/>
          <w:sz w:val="32"/>
          <w:szCs w:val="32"/>
        </w:rPr>
        <w:t>如下：</w:t>
      </w:r>
    </w:p>
    <w:p>
      <w:pPr>
        <w:ind w:firstLine="640" w:firstLineChars="200"/>
        <w:jc w:val="left"/>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一、对</w:t>
      </w:r>
      <w:r>
        <w:rPr>
          <w:rFonts w:ascii="Times New Roman" w:hAnsi="Times New Roman" w:eastAsia="黑体" w:cs="Times New Roman"/>
          <w:sz w:val="32"/>
          <w:szCs w:val="32"/>
        </w:rPr>
        <w:t>广州市黄埔区（中新广州知识城）</w:t>
      </w:r>
      <w:r>
        <w:rPr>
          <w:rFonts w:hint="eastAsia" w:ascii="Times New Roman" w:hAnsi="Times New Roman" w:eastAsia="黑体" w:cs="Times New Roman"/>
          <w:sz w:val="32"/>
          <w:szCs w:val="32"/>
          <w:lang w:eastAsia="zh-CN"/>
        </w:rPr>
        <w:t>2024年度第五十一批次</w:t>
      </w:r>
      <w:r>
        <w:rPr>
          <w:rFonts w:ascii="Times New Roman" w:hAnsi="Times New Roman" w:eastAsia="黑体" w:cs="Times New Roman"/>
          <w:sz w:val="32"/>
          <w:szCs w:val="32"/>
        </w:rPr>
        <w:t>城镇建设</w:t>
      </w:r>
      <w:r>
        <w:rPr>
          <w:rFonts w:ascii="Times New Roman" w:hAnsi="Times New Roman" w:eastAsia="黑体" w:cs="Times New Roman"/>
          <w:kern w:val="0"/>
          <w:sz w:val="32"/>
          <w:szCs w:val="32"/>
        </w:rPr>
        <w:t>用地</w:t>
      </w:r>
      <w:r>
        <w:rPr>
          <w:rFonts w:hint="eastAsia" w:ascii="Times New Roman" w:hAnsi="Times New Roman" w:eastAsia="黑体" w:cs="Times New Roman"/>
          <w:kern w:val="0"/>
          <w:sz w:val="32"/>
          <w:szCs w:val="32"/>
        </w:rPr>
        <w:t>（</w:t>
      </w:r>
      <w:r>
        <w:rPr>
          <w:rFonts w:hint="eastAsia" w:ascii="Times New Roman" w:hAnsi="Times New Roman" w:eastAsia="黑体" w:cs="Times New Roman"/>
          <w:kern w:val="0"/>
          <w:sz w:val="32"/>
          <w:szCs w:val="32"/>
          <w:lang w:eastAsia="zh-CN"/>
        </w:rPr>
        <w:t>181.5435亩</w:t>
      </w:r>
      <w:r>
        <w:rPr>
          <w:rFonts w:hint="eastAsia" w:ascii="Times New Roman" w:hAnsi="Times New Roman" w:eastAsia="黑体" w:cs="Times New Roman"/>
          <w:kern w:val="0"/>
          <w:sz w:val="32"/>
          <w:szCs w:val="32"/>
        </w:rPr>
        <w:t>）</w:t>
      </w:r>
      <w:r>
        <w:rPr>
          <w:rFonts w:ascii="Times New Roman" w:hAnsi="Times New Roman" w:eastAsia="黑体" w:cs="Times New Roman"/>
          <w:kern w:val="0"/>
          <w:sz w:val="32"/>
          <w:szCs w:val="32"/>
        </w:rPr>
        <w:t>涉及的被征地农民实施社会养老保障。</w:t>
      </w:r>
      <w:r>
        <w:rPr>
          <w:rFonts w:hint="eastAsia" w:ascii="Times New Roman" w:hAnsi="Times New Roman" w:eastAsia="仿宋_GB2312" w:cs="Times New Roman"/>
          <w:color w:val="000000"/>
          <w:kern w:val="0"/>
          <w:sz w:val="32"/>
          <w:szCs w:val="32"/>
          <w:shd w:val="clear" w:color="auto" w:fill="FFFFFF"/>
          <w:lang w:bidi="ar"/>
        </w:rPr>
        <w:t>依据广州市规划和自然资源局黄埔区分局、广州开发区规划和自然资源局提供情况，该项目征地双方于2021年8月前全部完成征地补偿安置协议签订，按粤府办</w:t>
      </w:r>
      <w:r>
        <w:rPr>
          <w:rFonts w:ascii="Times New Roman" w:hAnsi="Times New Roman" w:eastAsia="仿宋_GB2312" w:cs="Times New Roman"/>
          <w:color w:val="000000"/>
          <w:kern w:val="0"/>
          <w:sz w:val="32"/>
          <w:szCs w:val="32"/>
          <w:shd w:val="clear" w:color="auto" w:fill="FFFFFF"/>
          <w:lang w:bidi="ar"/>
        </w:rPr>
        <w:t>〔2021〕22号</w:t>
      </w:r>
      <w:r>
        <w:rPr>
          <w:rFonts w:hint="eastAsia" w:ascii="Times New Roman" w:hAnsi="Times New Roman" w:eastAsia="仿宋_GB2312" w:cs="Times New Roman"/>
          <w:color w:val="000000"/>
          <w:kern w:val="0"/>
          <w:sz w:val="32"/>
          <w:szCs w:val="32"/>
          <w:shd w:val="clear" w:color="auto" w:fill="FFFFFF"/>
          <w:lang w:bidi="ar"/>
        </w:rPr>
        <w:t>文第八点规定执行原征地社保政策。</w:t>
      </w:r>
    </w:p>
    <w:p>
      <w:pPr>
        <w:ind w:firstLine="640" w:firstLineChars="200"/>
        <w:jc w:val="left"/>
        <w:rPr>
          <w:rFonts w:ascii="仿宋_GB2312" w:hAnsi="Times New Roman" w:eastAsia="仿宋_GB2312"/>
          <w:kern w:val="0"/>
          <w:sz w:val="32"/>
          <w:szCs w:val="32"/>
          <w:shd w:val="clear" w:color="auto" w:fill="FFFFFF"/>
          <w:lang w:bidi="ar"/>
        </w:rPr>
      </w:pPr>
      <w:r>
        <w:rPr>
          <w:rFonts w:ascii="Times New Roman" w:hAnsi="Times New Roman" w:eastAsia="黑体" w:cs="Times New Roman"/>
          <w:kern w:val="0"/>
          <w:sz w:val="32"/>
          <w:szCs w:val="32"/>
        </w:rPr>
        <w:t>二、</w:t>
      </w:r>
      <w:r>
        <w:rPr>
          <w:rFonts w:hint="eastAsia" w:ascii="黑体" w:hAnsi="黑体" w:eastAsia="黑体" w:cs="Times New Roman"/>
          <w:bCs/>
          <w:kern w:val="0"/>
          <w:sz w:val="32"/>
          <w:szCs w:val="32"/>
          <w:shd w:val="clear" w:color="auto" w:fill="FFFFFF"/>
        </w:rPr>
        <w:t>纳入本次被征地农民养老保障的对象人数</w:t>
      </w:r>
      <w:r>
        <w:rPr>
          <w:rFonts w:ascii="Times New Roman" w:hAnsi="Times New Roman" w:eastAsia="黑体" w:cs="Times New Roman"/>
          <w:kern w:val="0"/>
          <w:sz w:val="32"/>
          <w:szCs w:val="32"/>
        </w:rPr>
        <w:t>。</w:t>
      </w:r>
      <w:r>
        <w:rPr>
          <w:rFonts w:ascii="Times New Roman" w:hAnsi="Times New Roman" w:eastAsia="仿宋_GB2312" w:cs="Times New Roman"/>
          <w:sz w:val="32"/>
          <w:szCs w:val="32"/>
        </w:rPr>
        <w:t>广州市黄埔区（中新广州知识城）</w:t>
      </w:r>
      <w:r>
        <w:rPr>
          <w:rFonts w:hint="eastAsia" w:ascii="Times New Roman" w:hAnsi="Times New Roman" w:eastAsia="仿宋_GB2312" w:cs="Times New Roman"/>
          <w:sz w:val="32"/>
          <w:szCs w:val="32"/>
          <w:lang w:eastAsia="zh-CN"/>
        </w:rPr>
        <w:t>2024年度第五十一批次</w:t>
      </w:r>
      <w:r>
        <w:rPr>
          <w:rFonts w:ascii="Times New Roman" w:hAnsi="Times New Roman" w:eastAsia="仿宋_GB2312" w:cs="Times New Roman"/>
          <w:sz w:val="32"/>
          <w:szCs w:val="32"/>
        </w:rPr>
        <w:t>城镇建设用地</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181.5435亩</w:t>
      </w:r>
      <w:r>
        <w:rPr>
          <w:rFonts w:hint="eastAsia" w:ascii="Times New Roman" w:hAnsi="Times New Roman" w:eastAsia="仿宋_GB2312" w:cs="Times New Roman"/>
          <w:sz w:val="32"/>
          <w:szCs w:val="32"/>
        </w:rPr>
        <w:t>）征用我区</w:t>
      </w:r>
      <w:r>
        <w:rPr>
          <w:rFonts w:hint="eastAsia" w:ascii="Times New Roman" w:hAnsi="Times New Roman" w:eastAsia="仿宋_GB2312" w:cs="Times New Roman"/>
          <w:sz w:val="32"/>
          <w:szCs w:val="32"/>
          <w:lang w:val="en-US" w:eastAsia="zh-CN"/>
        </w:rPr>
        <w:t>龙湖街何棠下村、</w:t>
      </w:r>
      <w:r>
        <w:rPr>
          <w:rFonts w:hint="eastAsia" w:ascii="Times New Roman" w:hAnsi="Times New Roman" w:eastAsia="仿宋_GB2312" w:cs="Times New Roman"/>
          <w:sz w:val="32"/>
          <w:szCs w:val="32"/>
        </w:rPr>
        <w:t>九佛街</w:t>
      </w:r>
      <w:r>
        <w:rPr>
          <w:rFonts w:hint="eastAsia" w:ascii="Times New Roman" w:hAnsi="Times New Roman" w:eastAsia="仿宋_GB2312" w:cs="Times New Roman"/>
          <w:sz w:val="32"/>
          <w:szCs w:val="32"/>
          <w:lang w:val="en-US" w:eastAsia="zh-CN"/>
        </w:rPr>
        <w:t>重岗</w:t>
      </w:r>
      <w:r>
        <w:rPr>
          <w:rFonts w:hint="eastAsia" w:ascii="Times New Roman" w:hAnsi="Times New Roman" w:eastAsia="仿宋_GB2312" w:cs="Times New Roman"/>
          <w:sz w:val="32"/>
          <w:szCs w:val="32"/>
        </w:rPr>
        <w:t>村</w:t>
      </w:r>
      <w:r>
        <w:rPr>
          <w:rFonts w:hint="eastAsia" w:ascii="Times New Roman" w:hAnsi="Times New Roman" w:eastAsia="仿宋_GB2312" w:cs="Times New Roman"/>
          <w:sz w:val="32"/>
          <w:szCs w:val="32"/>
          <w:lang w:val="en-US" w:eastAsia="zh-CN"/>
        </w:rPr>
        <w:t>以及莲塘村集体土地</w:t>
      </w:r>
      <w:r>
        <w:rPr>
          <w:rFonts w:hint="eastAsia" w:eastAsia="仿宋_GB2312" w:cs="Times New Roman"/>
          <w:sz w:val="32"/>
          <w:szCs w:val="32"/>
          <w:lang w:bidi="ar"/>
        </w:rPr>
        <w:t>面积共</w:t>
      </w:r>
      <w:r>
        <w:rPr>
          <w:rFonts w:hint="eastAsia" w:ascii="Times New Roman" w:hAnsi="Times New Roman" w:eastAsia="仿宋_GB2312" w:cs="Times New Roman"/>
          <w:sz w:val="32"/>
          <w:szCs w:val="32"/>
          <w:lang w:eastAsia="zh-CN" w:bidi="ar"/>
        </w:rPr>
        <w:t>181.5435亩</w:t>
      </w:r>
      <w:r>
        <w:rPr>
          <w:rFonts w:hint="eastAsia" w:ascii="Times New Roman" w:hAnsi="Times New Roman" w:eastAsia="仿宋_GB2312" w:cs="Times New Roman"/>
          <w:color w:val="000000"/>
          <w:kern w:val="0"/>
          <w:sz w:val="32"/>
          <w:szCs w:val="32"/>
          <w:shd w:val="clear" w:color="auto" w:fill="FFFFFF"/>
          <w:lang w:bidi="ar"/>
        </w:rPr>
        <w:t>（其中</w:t>
      </w:r>
      <w:r>
        <w:rPr>
          <w:rFonts w:hint="eastAsia" w:eastAsia="仿宋_GB2312" w:cs="Times New Roman"/>
          <w:color w:val="000000"/>
          <w:sz w:val="32"/>
          <w:szCs w:val="32"/>
          <w:lang w:bidi="ar"/>
        </w:rPr>
        <w:t>被征地单位留用地</w:t>
      </w:r>
      <w:r>
        <w:rPr>
          <w:rFonts w:hint="eastAsia" w:ascii="Times New Roman" w:hAnsi="Times New Roman" w:eastAsia="仿宋_GB2312" w:cs="Times New Roman"/>
          <w:color w:val="000000"/>
          <w:sz w:val="32"/>
          <w:szCs w:val="32"/>
          <w:lang w:val="en-US" w:eastAsia="zh-CN" w:bidi="ar"/>
        </w:rPr>
        <w:t>0.0000</w:t>
      </w:r>
      <w:r>
        <w:rPr>
          <w:rFonts w:ascii="Times New Roman" w:hAnsi="Times New Roman" w:eastAsia="仿宋_GB2312" w:cs="Times New Roman"/>
          <w:color w:val="000000"/>
          <w:sz w:val="32"/>
          <w:szCs w:val="32"/>
          <w:lang w:bidi="ar"/>
        </w:rPr>
        <w:t>亩</w:t>
      </w:r>
      <w:r>
        <w:rPr>
          <w:rFonts w:hint="eastAsia" w:ascii="Times New Roman" w:hAnsi="Times New Roman" w:eastAsia="仿宋_GB2312" w:cs="Times New Roman"/>
          <w:color w:val="000000"/>
          <w:kern w:val="0"/>
          <w:sz w:val="32"/>
          <w:szCs w:val="32"/>
          <w:shd w:val="clear" w:color="auto" w:fill="FFFFFF"/>
          <w:lang w:bidi="ar"/>
        </w:rPr>
        <w:t>）</w:t>
      </w:r>
      <w:r>
        <w:rPr>
          <w:rFonts w:hint="eastAsia" w:eastAsia="仿宋_GB2312" w:cs="Times New Roman"/>
          <w:sz w:val="32"/>
          <w:szCs w:val="32"/>
          <w:lang w:bidi="ar"/>
        </w:rPr>
        <w:t>，该项目涉及的被征地单位留用地按规定不计提征地社保费，其余被征土地涉及</w:t>
      </w:r>
      <w:r>
        <w:rPr>
          <w:rFonts w:hint="eastAsia" w:ascii="仿宋_GB2312" w:hAnsi="Times New Roman" w:eastAsia="仿宋_GB2312" w:cs="Times New Roman"/>
          <w:kern w:val="0"/>
          <w:sz w:val="32"/>
          <w:szCs w:val="32"/>
          <w:shd w:val="clear" w:color="auto" w:fill="FFFFFF"/>
          <w:lang w:bidi="ar"/>
        </w:rPr>
        <w:t>应纳入养老保障范围的被征地农民</w:t>
      </w:r>
      <w:r>
        <w:rPr>
          <w:rFonts w:hint="eastAsia" w:ascii="Times New Roman" w:hAnsi="Times New Roman" w:eastAsia="仿宋_GB2312" w:cs="Times New Roman"/>
          <w:sz w:val="32"/>
          <w:szCs w:val="32"/>
        </w:rPr>
        <w:t>共</w:t>
      </w:r>
      <w:r>
        <w:rPr>
          <w:rFonts w:hint="eastAsia" w:ascii="Times New Roman" w:hAnsi="Times New Roman" w:eastAsia="仿宋_GB2312" w:cs="Times New Roman"/>
          <w:sz w:val="32"/>
          <w:szCs w:val="32"/>
          <w:highlight w:val="none"/>
          <w:lang w:val="en-US" w:eastAsia="zh-CN"/>
        </w:rPr>
        <w:t>54</w:t>
      </w:r>
      <w:r>
        <w:rPr>
          <w:rFonts w:hint="eastAsia" w:ascii="Times New Roman" w:hAnsi="Times New Roman" w:eastAsia="仿宋_GB2312" w:cs="Times New Roman"/>
          <w:sz w:val="32"/>
          <w:szCs w:val="32"/>
        </w:rPr>
        <w:t>人。具体</w:t>
      </w:r>
      <w:r>
        <w:rPr>
          <w:rFonts w:hint="eastAsia" w:ascii="仿宋_GB2312" w:hAnsi="Times New Roman" w:eastAsia="仿宋_GB2312" w:cs="Times New Roman"/>
          <w:kern w:val="0"/>
          <w:sz w:val="32"/>
          <w:szCs w:val="32"/>
          <w:shd w:val="clear" w:color="auto" w:fill="FFFFFF"/>
          <w:lang w:bidi="ar"/>
        </w:rPr>
        <w:t>名单经村民（股东）大会或村民（股东）代表大会讨论，由村委会报乡镇人民政府（街道办事处）核准、公示后确定，送所属社会保险经办部门办理相关社保手续。按规定，在项目依法获得用地获批后三个月内落实征地社保费分配到人，落实参保。</w:t>
      </w:r>
    </w:p>
    <w:p>
      <w:pPr>
        <w:ind w:firstLine="640" w:firstLineChars="200"/>
        <w:jc w:val="left"/>
        <w:rPr>
          <w:rFonts w:ascii="Times New Roman" w:hAnsi="Times New Roman" w:eastAsia="仿宋_GB2312" w:cs="Times New Roman"/>
          <w:sz w:val="32"/>
          <w:szCs w:val="32"/>
        </w:rPr>
      </w:pPr>
      <w:r>
        <w:rPr>
          <w:rFonts w:hint="eastAsia" w:ascii="黑体" w:hAnsi="黑体" w:eastAsia="黑体" w:cs="Times New Roman"/>
          <w:bCs/>
          <w:kern w:val="0"/>
          <w:sz w:val="32"/>
          <w:szCs w:val="32"/>
          <w:shd w:val="clear" w:color="auto" w:fill="FFFFFF"/>
        </w:rPr>
        <w:t>三、征地社保费筹集</w:t>
      </w:r>
      <w:r>
        <w:rPr>
          <w:rFonts w:ascii="Times New Roman" w:hAnsi="Times New Roman" w:eastAsia="黑体" w:cs="Times New Roman"/>
          <w:kern w:val="0"/>
          <w:sz w:val="32"/>
          <w:szCs w:val="32"/>
        </w:rPr>
        <w:t>。</w:t>
      </w:r>
      <w:r>
        <w:rPr>
          <w:rFonts w:ascii="Times New Roman" w:hAnsi="Times New Roman" w:eastAsia="仿宋_GB2312" w:cs="Times New Roman"/>
          <w:color w:val="000000"/>
          <w:kern w:val="0"/>
          <w:sz w:val="32"/>
          <w:szCs w:val="32"/>
          <w:shd w:val="clear" w:color="auto" w:fill="FFFFFF"/>
          <w:lang w:bidi="ar"/>
        </w:rPr>
        <w:t>征地主体（用人单位）按每人16200元的标准和应纳入养老保障范围的被征地农民人数，将所需资金共</w:t>
      </w:r>
      <w:r>
        <w:rPr>
          <w:rFonts w:hint="eastAsia" w:ascii="Times New Roman" w:hAnsi="Times New Roman" w:eastAsia="仿宋_GB2312" w:cs="Times New Roman"/>
          <w:kern w:val="0"/>
          <w:sz w:val="32"/>
          <w:szCs w:val="32"/>
          <w:shd w:val="clear" w:color="auto" w:fill="FFFFFF"/>
          <w:lang w:val="en-US" w:eastAsia="zh-CN" w:bidi="ar"/>
        </w:rPr>
        <w:t>87.48</w:t>
      </w:r>
      <w:r>
        <w:rPr>
          <w:rFonts w:ascii="Times New Roman" w:hAnsi="Times New Roman" w:eastAsia="仿宋_GB2312" w:cs="Times New Roman"/>
          <w:color w:val="000000"/>
          <w:kern w:val="0"/>
          <w:sz w:val="32"/>
          <w:szCs w:val="32"/>
          <w:shd w:val="clear" w:color="auto" w:fill="FFFFFF"/>
          <w:lang w:bidi="ar"/>
        </w:rPr>
        <w:t>万元一次性预存入黄埔区人力资源社会保障部门开设的“收缴被征地农民社会保障资金过渡户”，专款</w:t>
      </w:r>
      <w:r>
        <w:rPr>
          <w:rFonts w:ascii="Times New Roman" w:hAnsi="Times New Roman" w:eastAsia="仿宋_GB2312" w:cs="Times New Roman"/>
          <w:sz w:val="32"/>
          <w:szCs w:val="32"/>
        </w:rPr>
        <w:t>用于支付被征地农民养老保险个人缴费费用，征地社保费单列计提并列入征地成本。</w:t>
      </w:r>
    </w:p>
    <w:p>
      <w:pPr>
        <w:shd w:val="clear" w:color="auto" w:fill="FFFFFF"/>
        <w:spacing w:line="540" w:lineRule="exact"/>
        <w:ind w:firstLine="611" w:firstLineChars="191"/>
        <w:rPr>
          <w:rFonts w:ascii="Times New Roman" w:hAnsi="Times New Roman" w:eastAsia="仿宋_GB2312" w:cs="Times New Roman"/>
          <w:sz w:val="32"/>
          <w:szCs w:val="32"/>
        </w:rPr>
      </w:pPr>
    </w:p>
    <w:p>
      <w:pPr>
        <w:shd w:val="clear" w:color="auto" w:fill="FFFFFF"/>
        <w:spacing w:line="540" w:lineRule="exact"/>
        <w:ind w:firstLine="611" w:firstLineChars="19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附表：征收土地及养老保障情况表</w:t>
      </w:r>
    </w:p>
    <w:p>
      <w:pPr>
        <w:rPr>
          <w:rFonts w:ascii="Times New Roman" w:hAnsi="Times New Roman" w:eastAsia="仿宋_GB2312" w:cs="Times New Roman"/>
          <w:kern w:val="32"/>
          <w:sz w:val="32"/>
          <w:szCs w:val="32"/>
        </w:rPr>
      </w:pPr>
      <w:r>
        <w:rPr>
          <w:rFonts w:ascii="Times New Roman" w:hAnsi="Times New Roman" w:eastAsia="仿宋_GB2312" w:cs="Times New Roman"/>
          <w:kern w:val="32"/>
          <w:sz w:val="32"/>
          <w:szCs w:val="32"/>
        </w:rPr>
        <w:br w:type="page"/>
      </w:r>
    </w:p>
    <w:p>
      <w:pPr>
        <w:rPr>
          <w:rFonts w:ascii="黑体" w:hAnsi="黑体" w:eastAsia="黑体" w:cs="黑体"/>
          <w:kern w:val="32"/>
          <w:sz w:val="32"/>
          <w:szCs w:val="32"/>
        </w:rPr>
      </w:pPr>
      <w:r>
        <w:rPr>
          <w:rFonts w:ascii="黑体" w:hAnsi="黑体" w:eastAsia="黑体" w:cs="黑体"/>
          <w:kern w:val="32"/>
          <w:sz w:val="32"/>
          <w:szCs w:val="32"/>
        </w:rPr>
        <w:t>附</w:t>
      </w:r>
      <w:r>
        <w:rPr>
          <w:rFonts w:hint="eastAsia" w:ascii="黑体" w:hAnsi="黑体" w:eastAsia="黑体" w:cs="黑体"/>
          <w:kern w:val="32"/>
          <w:sz w:val="32"/>
          <w:szCs w:val="32"/>
        </w:rPr>
        <w:t>表</w:t>
      </w:r>
      <w:r>
        <w:rPr>
          <w:rFonts w:ascii="黑体" w:hAnsi="黑体" w:eastAsia="黑体" w:cs="黑体"/>
          <w:kern w:val="32"/>
          <w:sz w:val="32"/>
          <w:szCs w:val="32"/>
        </w:rPr>
        <w:t>：</w:t>
      </w:r>
    </w:p>
    <w:p>
      <w:pPr>
        <w:ind w:firstLine="2200" w:firstLineChars="500"/>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征收土地及养老保障情况表</w:t>
      </w:r>
    </w:p>
    <w:p>
      <w:pPr>
        <w:ind w:firstLine="640" w:firstLineChars="200"/>
        <w:jc w:val="right"/>
        <w:rPr>
          <w:rFonts w:eastAsia="仿宋_GB2312"/>
          <w:sz w:val="32"/>
          <w:szCs w:val="32"/>
        </w:rPr>
      </w:pPr>
      <w:r>
        <w:rPr>
          <w:rFonts w:hint="eastAsia" w:eastAsia="仿宋_GB2312"/>
          <w:sz w:val="32"/>
          <w:szCs w:val="32"/>
        </w:rPr>
        <w:t>单位：亩、人、万元</w:t>
      </w:r>
    </w:p>
    <w:tbl>
      <w:tblPr>
        <w:tblStyle w:val="4"/>
        <w:tblW w:w="9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498"/>
        <w:gridCol w:w="2373"/>
        <w:gridCol w:w="1027"/>
        <w:gridCol w:w="975"/>
        <w:gridCol w:w="735"/>
        <w:gridCol w:w="750"/>
        <w:gridCol w:w="1005"/>
        <w:gridCol w:w="1005"/>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99" w:hRule="atLeast"/>
          <w:jc w:val="center"/>
        </w:trPr>
        <w:tc>
          <w:tcPr>
            <w:tcW w:w="2871" w:type="dxa"/>
            <w:gridSpan w:val="2"/>
            <w:vMerge w:val="restart"/>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被征地单位</w:t>
            </w:r>
          </w:p>
        </w:tc>
        <w:tc>
          <w:tcPr>
            <w:tcW w:w="3487" w:type="dxa"/>
            <w:gridSpan w:val="4"/>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征收土地面积</w:t>
            </w:r>
          </w:p>
        </w:tc>
        <w:tc>
          <w:tcPr>
            <w:tcW w:w="1005" w:type="dxa"/>
            <w:vMerge w:val="restart"/>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属于被征地单位留用地面积</w:t>
            </w:r>
          </w:p>
        </w:tc>
        <w:tc>
          <w:tcPr>
            <w:tcW w:w="1005" w:type="dxa"/>
            <w:vMerge w:val="restart"/>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需保障人数</w:t>
            </w:r>
          </w:p>
        </w:tc>
        <w:tc>
          <w:tcPr>
            <w:tcW w:w="1335" w:type="dxa"/>
            <w:vMerge w:val="restart"/>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需计提养老保障费用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0" w:hRule="atLeast"/>
          <w:jc w:val="center"/>
        </w:trPr>
        <w:tc>
          <w:tcPr>
            <w:tcW w:w="2871" w:type="dxa"/>
            <w:gridSpan w:val="2"/>
            <w:vMerge w:val="continue"/>
            <w:vAlign w:val="center"/>
          </w:tcPr>
          <w:p>
            <w:pPr>
              <w:spacing w:line="320" w:lineRule="exact"/>
              <w:jc w:val="center"/>
              <w:rPr>
                <w:rFonts w:ascii="Times New Roman" w:hAnsi="Times New Roman" w:eastAsia="仿宋_GB2312" w:cs="Times New Roman"/>
                <w:sz w:val="24"/>
              </w:rPr>
            </w:pPr>
          </w:p>
        </w:tc>
        <w:tc>
          <w:tcPr>
            <w:tcW w:w="1027" w:type="dxa"/>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合计</w:t>
            </w:r>
          </w:p>
        </w:tc>
        <w:tc>
          <w:tcPr>
            <w:tcW w:w="975" w:type="dxa"/>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农用地</w:t>
            </w:r>
          </w:p>
        </w:tc>
        <w:tc>
          <w:tcPr>
            <w:tcW w:w="735" w:type="dxa"/>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建设用地</w:t>
            </w:r>
          </w:p>
        </w:tc>
        <w:tc>
          <w:tcPr>
            <w:tcW w:w="750" w:type="dxa"/>
            <w:shd w:val="clear" w:color="auto" w:fill="FFFFFF"/>
            <w:vAlign w:val="center"/>
          </w:tcPr>
          <w:p>
            <w:pPr>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未利用地</w:t>
            </w:r>
          </w:p>
        </w:tc>
        <w:tc>
          <w:tcPr>
            <w:tcW w:w="1005" w:type="dxa"/>
            <w:vMerge w:val="continue"/>
            <w:vAlign w:val="center"/>
          </w:tcPr>
          <w:p>
            <w:pPr>
              <w:spacing w:line="320" w:lineRule="exact"/>
              <w:jc w:val="center"/>
              <w:rPr>
                <w:rFonts w:ascii="Times New Roman" w:hAnsi="Times New Roman" w:eastAsia="仿宋_GB2312" w:cs="Times New Roman"/>
                <w:sz w:val="24"/>
              </w:rPr>
            </w:pPr>
          </w:p>
        </w:tc>
        <w:tc>
          <w:tcPr>
            <w:tcW w:w="1005" w:type="dxa"/>
            <w:vMerge w:val="continue"/>
            <w:vAlign w:val="center"/>
          </w:tcPr>
          <w:p>
            <w:pPr>
              <w:spacing w:line="320" w:lineRule="exact"/>
              <w:jc w:val="center"/>
              <w:rPr>
                <w:rFonts w:ascii="Times New Roman" w:hAnsi="Times New Roman" w:eastAsia="仿宋_GB2312" w:cs="Times New Roman"/>
                <w:sz w:val="24"/>
              </w:rPr>
            </w:pPr>
          </w:p>
        </w:tc>
        <w:tc>
          <w:tcPr>
            <w:tcW w:w="1335" w:type="dxa"/>
            <w:vMerge w:val="continue"/>
            <w:vAlign w:val="center"/>
          </w:tcPr>
          <w:p>
            <w:pPr>
              <w:spacing w:line="32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07" w:hRule="atLeast"/>
          <w:jc w:val="center"/>
        </w:trPr>
        <w:tc>
          <w:tcPr>
            <w:tcW w:w="498" w:type="dxa"/>
            <w:vMerge w:val="restart"/>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何棠下村人和经济合作社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0.1650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0.1650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eastAsiaTheme="minorEastAsia"/>
                <w:sz w:val="22"/>
                <w:lang w:val="en-US" w:eastAsia="zh-CN"/>
              </w:rPr>
            </w:pPr>
            <w:r>
              <w:rPr>
                <w:rFonts w:hint="eastAsia" w:ascii="Times New Roman" w:hAnsi="Times New Roman" w:cs="Times New Roman"/>
                <w:sz w:val="22"/>
                <w:lang w:val="en-US" w:eastAsia="zh-CN"/>
              </w:rPr>
              <w:t>1</w:t>
            </w:r>
          </w:p>
        </w:tc>
        <w:tc>
          <w:tcPr>
            <w:tcW w:w="1335" w:type="dxa"/>
            <w:shd w:val="clear" w:color="auto" w:fill="FFFFFF"/>
            <w:noWrap/>
            <w:vAlign w:val="center"/>
          </w:tcPr>
          <w:p>
            <w:pPr>
              <w:widowControl/>
              <w:jc w:val="center"/>
              <w:textAlignment w:val="center"/>
              <w:rPr>
                <w:rFonts w:hint="default" w:ascii="Times New Roman" w:hAnsi="Times New Roman" w:cs="Times New Roman" w:eastAsiaTheme="minorEastAsia"/>
                <w:sz w:val="22"/>
                <w:lang w:val="en-US" w:eastAsia="zh-CN"/>
              </w:rPr>
            </w:pPr>
            <w:r>
              <w:rPr>
                <w:rFonts w:hint="eastAsia" w:ascii="Times New Roman" w:hAnsi="Times New Roman" w:cs="Times New Roman"/>
                <w:sz w:val="22"/>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07"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何棠下村前进经济合作社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23.3790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22.9815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0.3975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7</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何棠下村群英经济合作社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12.3135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12.3135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eastAsiaTheme="minorEastAsia"/>
                <w:sz w:val="22"/>
                <w:lang w:val="en-US" w:eastAsia="zh-CN"/>
              </w:rPr>
            </w:pPr>
            <w:r>
              <w:rPr>
                <w:rFonts w:hint="eastAsia" w:ascii="Times New Roman" w:hAnsi="Times New Roman" w:cs="Times New Roman"/>
                <w:sz w:val="22"/>
                <w:lang w:val="en-US" w:eastAsia="zh-CN"/>
              </w:rPr>
              <w:t>3</w:t>
            </w:r>
          </w:p>
        </w:tc>
        <w:tc>
          <w:tcPr>
            <w:tcW w:w="1335" w:type="dxa"/>
            <w:shd w:val="clear" w:color="auto" w:fill="FFFFFF"/>
            <w:noWrap/>
            <w:vAlign w:val="center"/>
          </w:tcPr>
          <w:p>
            <w:pPr>
              <w:widowControl/>
              <w:jc w:val="center"/>
              <w:textAlignment w:val="center"/>
              <w:rPr>
                <w:rFonts w:hint="eastAsia" w:ascii="Times New Roman" w:hAnsi="Times New Roman" w:cs="Times New Roman"/>
                <w:sz w:val="22"/>
              </w:rPr>
            </w:pPr>
            <w:r>
              <w:rPr>
                <w:rFonts w:hint="eastAsia" w:ascii="Times New Roman" w:hAnsi="Times New Roman" w:cs="Times New Roman"/>
                <w:sz w:val="22"/>
                <w:lang w:val="en-US" w:eastAsia="zh-CN"/>
              </w:rPr>
              <w:t>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何棠下村红旗经济合作社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3.6615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3.6615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何棠下村红卫经济合作社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17.7765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17.7750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0.0015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6</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何棠下村经济联合社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105.5625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105.4740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0.0885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27</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43.74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restart"/>
            <w:shd w:val="clear" w:color="auto" w:fill="FFFFFF"/>
            <w:noWrap/>
            <w:vAlign w:val="center"/>
          </w:tcPr>
          <w:p>
            <w:pPr>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九佛街</w:t>
            </w: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重岗村第一经济合作社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3.1380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3.1380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重岗村第二经济合作社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8.9415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8.4960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0.4455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3</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重岗村第三经济合作社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3.7560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3.7260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0.0300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2</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重岗村经济联合社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0.7650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0.7650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莲塘村第七经济合作社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1.6485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1.6485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61" w:hRule="atLeast"/>
          <w:jc w:val="center"/>
        </w:trPr>
        <w:tc>
          <w:tcPr>
            <w:tcW w:w="498" w:type="dxa"/>
            <w:vMerge w:val="continue"/>
            <w:shd w:val="clear" w:color="auto" w:fill="FFFFFF"/>
            <w:noWrap/>
            <w:vAlign w:val="center"/>
          </w:tcPr>
          <w:p>
            <w:pPr>
              <w:spacing w:line="360" w:lineRule="exact"/>
              <w:jc w:val="center"/>
              <w:rPr>
                <w:rFonts w:ascii="Times New Roman" w:hAnsi="Times New Roman" w:eastAsia="仿宋_GB2312" w:cs="Times New Roman"/>
                <w:sz w:val="24"/>
              </w:rPr>
            </w:pPr>
          </w:p>
        </w:tc>
        <w:tc>
          <w:tcPr>
            <w:tcW w:w="2373"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auto"/>
                <w:kern w:val="0"/>
                <w:sz w:val="22"/>
                <w:lang w:val="en-US" w:eastAsia="zh-CN" w:bidi="ar-SA"/>
              </w:rPr>
            </w:pPr>
            <w:r>
              <w:rPr>
                <w:rFonts w:hint="eastAsia" w:ascii="仿宋_GB2312" w:hAnsi="仿宋_GB2312" w:eastAsia="仿宋_GB2312" w:cs="仿宋_GB2312"/>
                <w:color w:val="auto"/>
                <w:kern w:val="0"/>
                <w:sz w:val="22"/>
                <w:lang w:val="en-US" w:eastAsia="zh-CN" w:bidi="ar-SA"/>
              </w:rPr>
              <w:t>莲塘村经济联合社</w:t>
            </w:r>
          </w:p>
        </w:tc>
        <w:tc>
          <w:tcPr>
            <w:tcW w:w="1027"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0.4365 </w:t>
            </w:r>
          </w:p>
        </w:tc>
        <w:tc>
          <w:tcPr>
            <w:tcW w:w="97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0.4365 </w:t>
            </w:r>
          </w:p>
        </w:tc>
        <w:tc>
          <w:tcPr>
            <w:tcW w:w="73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750"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auto"/>
                <w:kern w:val="0"/>
                <w:sz w:val="22"/>
                <w:szCs w:val="22"/>
                <w:u w:val="none"/>
                <w:lang w:val="en-US" w:eastAsia="zh-CN" w:bidi="ar"/>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w:t>
            </w:r>
          </w:p>
        </w:tc>
        <w:tc>
          <w:tcPr>
            <w:tcW w:w="1335" w:type="dxa"/>
            <w:shd w:val="clear" w:color="auto" w:fill="FFFFFF"/>
            <w:noWrap/>
            <w:vAlign w:val="center"/>
          </w:tcPr>
          <w:p>
            <w:pPr>
              <w:widowControl/>
              <w:jc w:val="center"/>
              <w:textAlignment w:val="center"/>
              <w:rPr>
                <w:rFonts w:hint="default" w:ascii="Times New Roman" w:hAnsi="Times New Roman" w:cs="Times New Roman"/>
                <w:sz w:val="22"/>
                <w:lang w:val="en-US" w:eastAsia="zh-CN"/>
              </w:rPr>
            </w:pPr>
            <w:r>
              <w:rPr>
                <w:rFonts w:hint="eastAsia" w:ascii="Times New Roman" w:hAnsi="Times New Roman" w:cs="Times New Roman"/>
                <w:sz w:val="22"/>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 w:hRule="atLeast"/>
          <w:jc w:val="center"/>
        </w:trPr>
        <w:tc>
          <w:tcPr>
            <w:tcW w:w="2871" w:type="dxa"/>
            <w:gridSpan w:val="2"/>
            <w:shd w:val="clear" w:color="auto" w:fill="FFFFFF"/>
            <w:noWrap/>
            <w:vAlign w:val="center"/>
          </w:tcPr>
          <w:p>
            <w:pPr>
              <w:spacing w:line="360" w:lineRule="exact"/>
              <w:jc w:val="center"/>
              <w:rPr>
                <w:rFonts w:ascii="Times New Roman" w:hAnsi="Times New Roman" w:eastAsia="仿宋_GB2312" w:cs="Times New Roman"/>
                <w:sz w:val="22"/>
              </w:rPr>
            </w:pPr>
            <w:r>
              <w:rPr>
                <w:rFonts w:ascii="Times New Roman" w:hAnsi="Times New Roman" w:eastAsia="仿宋_GB2312" w:cs="Times New Roman"/>
                <w:b w:val="0"/>
                <w:bCs w:val="0"/>
                <w:sz w:val="22"/>
              </w:rPr>
              <w:t>合计</w:t>
            </w:r>
          </w:p>
        </w:tc>
        <w:tc>
          <w:tcPr>
            <w:tcW w:w="1027" w:type="dxa"/>
            <w:shd w:val="clear" w:color="auto" w:fill="FFFFFF"/>
            <w:vAlign w:val="center"/>
          </w:tcPr>
          <w:p>
            <w:pPr>
              <w:widowControl/>
              <w:jc w:val="center"/>
              <w:textAlignment w:val="center"/>
              <w:rPr>
                <w:rFonts w:hint="eastAsia" w:ascii="Times New Roman" w:hAnsi="Times New Roman" w:cs="Times New Roman"/>
                <w:b/>
                <w:bCs/>
                <w:sz w:val="22"/>
                <w:lang w:val="en-US" w:eastAsia="zh-CN"/>
              </w:rPr>
            </w:pPr>
            <w:r>
              <w:rPr>
                <w:rFonts w:hint="eastAsia" w:ascii="Times New Roman" w:hAnsi="Times New Roman" w:cs="Times New Roman"/>
                <w:b/>
                <w:bCs/>
                <w:sz w:val="22"/>
                <w:lang w:val="en-US" w:eastAsia="zh-CN"/>
              </w:rPr>
              <w:t>181.5435</w:t>
            </w:r>
          </w:p>
        </w:tc>
        <w:tc>
          <w:tcPr>
            <w:tcW w:w="975" w:type="dxa"/>
            <w:shd w:val="clear" w:color="auto" w:fill="FFFFFF"/>
            <w:vAlign w:val="center"/>
          </w:tcPr>
          <w:p>
            <w:pPr>
              <w:widowControl/>
              <w:jc w:val="center"/>
              <w:textAlignment w:val="center"/>
              <w:rPr>
                <w:rFonts w:hint="default" w:ascii="Times New Roman" w:hAnsi="Times New Roman" w:cs="Times New Roman"/>
                <w:b/>
                <w:bCs/>
                <w:sz w:val="22"/>
                <w:lang w:val="en-US" w:eastAsia="zh-CN"/>
              </w:rPr>
            </w:pPr>
            <w:r>
              <w:rPr>
                <w:rFonts w:hint="eastAsia" w:ascii="Times New Roman" w:hAnsi="Times New Roman" w:cs="Times New Roman"/>
                <w:b/>
                <w:bCs/>
                <w:sz w:val="22"/>
                <w:lang w:val="en-US" w:eastAsia="zh-CN"/>
              </w:rPr>
              <w:t xml:space="preserve">180.5805 </w:t>
            </w:r>
          </w:p>
        </w:tc>
        <w:tc>
          <w:tcPr>
            <w:tcW w:w="735" w:type="dxa"/>
            <w:shd w:val="clear" w:color="auto" w:fill="FFFFFF"/>
            <w:vAlign w:val="center"/>
          </w:tcPr>
          <w:p>
            <w:pPr>
              <w:widowControl/>
              <w:jc w:val="center"/>
              <w:textAlignment w:val="center"/>
              <w:rPr>
                <w:rFonts w:hint="eastAsia" w:ascii="Times New Roman" w:hAnsi="Times New Roman" w:cs="Times New Roman"/>
                <w:b/>
                <w:bCs/>
                <w:sz w:val="22"/>
                <w:lang w:val="en-US" w:eastAsia="zh-CN"/>
              </w:rPr>
            </w:pPr>
            <w:r>
              <w:rPr>
                <w:rFonts w:hint="eastAsia" w:ascii="Times New Roman" w:hAnsi="Times New Roman" w:cs="Times New Roman"/>
                <w:b/>
                <w:bCs/>
                <w:sz w:val="22"/>
                <w:lang w:val="en-US" w:eastAsia="zh-CN"/>
              </w:rPr>
              <w:t>0.0000</w:t>
            </w:r>
          </w:p>
        </w:tc>
        <w:tc>
          <w:tcPr>
            <w:tcW w:w="750" w:type="dxa"/>
            <w:shd w:val="clear" w:color="auto" w:fill="FFFFFF"/>
            <w:vAlign w:val="center"/>
          </w:tcPr>
          <w:p>
            <w:pPr>
              <w:widowControl/>
              <w:jc w:val="center"/>
              <w:textAlignment w:val="center"/>
              <w:rPr>
                <w:rFonts w:hint="eastAsia" w:ascii="Times New Roman" w:hAnsi="Times New Roman" w:cs="Times New Roman"/>
                <w:b/>
                <w:bCs/>
                <w:sz w:val="22"/>
                <w:lang w:val="en-US" w:eastAsia="zh-CN"/>
              </w:rPr>
            </w:pPr>
            <w:r>
              <w:rPr>
                <w:rFonts w:hint="eastAsia" w:ascii="Times New Roman" w:hAnsi="Times New Roman" w:cs="Times New Roman"/>
                <w:b/>
                <w:bCs/>
                <w:sz w:val="22"/>
                <w:lang w:val="en-US" w:eastAsia="zh-CN"/>
              </w:rPr>
              <w:t xml:space="preserve">0.9630 </w:t>
            </w:r>
          </w:p>
        </w:tc>
        <w:tc>
          <w:tcPr>
            <w:tcW w:w="1005" w:type="dxa"/>
            <w:shd w:val="clear" w:color="auto" w:fill="FFFFFF"/>
            <w:vAlign w:val="center"/>
          </w:tcPr>
          <w:p>
            <w:pPr>
              <w:widowControl/>
              <w:jc w:val="center"/>
              <w:textAlignment w:val="center"/>
              <w:rPr>
                <w:rFonts w:hint="eastAsia" w:ascii="Times New Roman" w:hAnsi="Times New Roman" w:cs="Times New Roman"/>
                <w:b/>
                <w:bCs/>
                <w:sz w:val="22"/>
                <w:lang w:val="en-US" w:eastAsia="zh-CN"/>
              </w:rPr>
            </w:pPr>
            <w:r>
              <w:rPr>
                <w:rFonts w:hint="eastAsia" w:ascii="Times New Roman" w:hAnsi="Times New Roman" w:cs="Times New Roman"/>
                <w:b/>
                <w:bCs/>
                <w:sz w:val="22"/>
                <w:lang w:val="en-US" w:eastAsia="zh-CN"/>
              </w:rPr>
              <w:t xml:space="preserve">0.0000 </w:t>
            </w:r>
          </w:p>
        </w:tc>
        <w:tc>
          <w:tcPr>
            <w:tcW w:w="1005" w:type="dxa"/>
            <w:shd w:val="clear" w:color="auto" w:fill="FFFFFF"/>
            <w:vAlign w:val="center"/>
          </w:tcPr>
          <w:p>
            <w:pPr>
              <w:widowControl/>
              <w:jc w:val="center"/>
              <w:textAlignment w:val="center"/>
              <w:rPr>
                <w:rFonts w:hint="default" w:ascii="Times New Roman" w:hAnsi="Times New Roman" w:cs="Times New Roman" w:eastAsiaTheme="minorEastAsia"/>
                <w:b/>
                <w:bCs/>
                <w:sz w:val="22"/>
                <w:lang w:val="en-US" w:eastAsia="zh-CN"/>
              </w:rPr>
            </w:pPr>
            <w:r>
              <w:rPr>
                <w:rFonts w:hint="eastAsia" w:ascii="Times New Roman" w:hAnsi="Times New Roman" w:cs="Times New Roman"/>
                <w:b/>
                <w:bCs/>
                <w:sz w:val="22"/>
                <w:lang w:val="en-US" w:eastAsia="zh-CN"/>
              </w:rPr>
              <w:t>54</w:t>
            </w:r>
          </w:p>
        </w:tc>
        <w:tc>
          <w:tcPr>
            <w:tcW w:w="1335" w:type="dxa"/>
            <w:shd w:val="clear" w:color="auto" w:fill="FFFFFF"/>
            <w:noWrap/>
            <w:vAlign w:val="center"/>
          </w:tcPr>
          <w:p>
            <w:pPr>
              <w:spacing w:line="360" w:lineRule="exact"/>
              <w:jc w:val="center"/>
              <w:rPr>
                <w:rFonts w:hint="default" w:ascii="Times New Roman" w:hAnsi="Times New Roman" w:eastAsia="仿宋_GB2312" w:cs="Times New Roman"/>
                <w:b/>
                <w:bCs/>
                <w:sz w:val="22"/>
                <w:lang w:val="en-US" w:eastAsia="zh-CN"/>
              </w:rPr>
            </w:pPr>
            <w:r>
              <w:rPr>
                <w:rFonts w:hint="eastAsia" w:ascii="Times New Roman" w:hAnsi="Times New Roman" w:eastAsia="仿宋_GB2312" w:cs="Times New Roman"/>
                <w:b/>
                <w:bCs/>
                <w:sz w:val="22"/>
                <w:lang w:val="en-US" w:eastAsia="zh-CN"/>
              </w:rPr>
              <w:t>87.48</w:t>
            </w:r>
          </w:p>
        </w:tc>
      </w:tr>
    </w:tbl>
    <w:p>
      <w:pPr>
        <w:rPr>
          <w:rFonts w:ascii="Times New Roman" w:hAnsi="Times New Roman" w:eastAsia="΢ȭхڢ; line-height:23px;" w:cs="Times New Roman"/>
          <w:sz w:val="32"/>
          <w:szCs w:val="32"/>
        </w:rPr>
      </w:pPr>
    </w:p>
    <w:p>
      <w:pPr>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广州市黄埔区人力资源和社会保障局</w:t>
      </w:r>
    </w:p>
    <w:p>
      <w:pPr>
        <w:ind w:firstLine="640" w:firstLineChars="200"/>
        <w:jc w:val="cente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10日</w:t>
      </w:r>
    </w:p>
    <w:sectPr>
      <w:pgSz w:w="11906" w:h="16838"/>
      <w:pgMar w:top="1417" w:right="1474"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ȭхڢ; line-height:23px;">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2NjFkNWNhMGE2MmUyOThiMTRjZWI1MTI2NzM5YTUifQ=="/>
  </w:docVars>
  <w:rsids>
    <w:rsidRoot w:val="0B4B15E0"/>
    <w:rsid w:val="00102E53"/>
    <w:rsid w:val="00105417"/>
    <w:rsid w:val="00300E43"/>
    <w:rsid w:val="006D0CE9"/>
    <w:rsid w:val="00C4504B"/>
    <w:rsid w:val="039D339B"/>
    <w:rsid w:val="077346EA"/>
    <w:rsid w:val="088F512A"/>
    <w:rsid w:val="0B4B15E0"/>
    <w:rsid w:val="0BFB0A14"/>
    <w:rsid w:val="0E3A4EE9"/>
    <w:rsid w:val="0E502A76"/>
    <w:rsid w:val="0F0558D3"/>
    <w:rsid w:val="0F22011B"/>
    <w:rsid w:val="12ED5A93"/>
    <w:rsid w:val="134104B7"/>
    <w:rsid w:val="14D56B30"/>
    <w:rsid w:val="14E65080"/>
    <w:rsid w:val="15B10430"/>
    <w:rsid w:val="15E30DAF"/>
    <w:rsid w:val="17DF06DD"/>
    <w:rsid w:val="181D1914"/>
    <w:rsid w:val="1B6B1E72"/>
    <w:rsid w:val="1B7350EA"/>
    <w:rsid w:val="1C1F6A26"/>
    <w:rsid w:val="1F4714A1"/>
    <w:rsid w:val="23A520BE"/>
    <w:rsid w:val="242D23BA"/>
    <w:rsid w:val="24B628A3"/>
    <w:rsid w:val="25AC35FF"/>
    <w:rsid w:val="25FF0D7F"/>
    <w:rsid w:val="282719B0"/>
    <w:rsid w:val="28A568C2"/>
    <w:rsid w:val="29ED39D7"/>
    <w:rsid w:val="29FB27C5"/>
    <w:rsid w:val="2B373C5F"/>
    <w:rsid w:val="2B790F8A"/>
    <w:rsid w:val="2BE24FE0"/>
    <w:rsid w:val="2BEE5883"/>
    <w:rsid w:val="2BF27637"/>
    <w:rsid w:val="2DB808B0"/>
    <w:rsid w:val="2FE431A1"/>
    <w:rsid w:val="309A4696"/>
    <w:rsid w:val="3211693C"/>
    <w:rsid w:val="32634CBB"/>
    <w:rsid w:val="330D4FE6"/>
    <w:rsid w:val="36A96E09"/>
    <w:rsid w:val="387B329C"/>
    <w:rsid w:val="39666FAD"/>
    <w:rsid w:val="396D6658"/>
    <w:rsid w:val="3D06708B"/>
    <w:rsid w:val="3D2F5C6C"/>
    <w:rsid w:val="3D374216"/>
    <w:rsid w:val="3FA4761E"/>
    <w:rsid w:val="3FD92D5A"/>
    <w:rsid w:val="415F50D0"/>
    <w:rsid w:val="42F6426B"/>
    <w:rsid w:val="43AD218C"/>
    <w:rsid w:val="44187C0C"/>
    <w:rsid w:val="445C50A4"/>
    <w:rsid w:val="450A60B3"/>
    <w:rsid w:val="470D3DEB"/>
    <w:rsid w:val="481948A6"/>
    <w:rsid w:val="4B0E7060"/>
    <w:rsid w:val="4CC86C1A"/>
    <w:rsid w:val="4E0D2791"/>
    <w:rsid w:val="4F7207DC"/>
    <w:rsid w:val="501F6D25"/>
    <w:rsid w:val="54523840"/>
    <w:rsid w:val="55171365"/>
    <w:rsid w:val="57D46CB4"/>
    <w:rsid w:val="57FB16DF"/>
    <w:rsid w:val="58C73B00"/>
    <w:rsid w:val="5C7B66D8"/>
    <w:rsid w:val="5C8A56BD"/>
    <w:rsid w:val="5D13628E"/>
    <w:rsid w:val="5DC01B86"/>
    <w:rsid w:val="605074D1"/>
    <w:rsid w:val="612733FB"/>
    <w:rsid w:val="62C11A44"/>
    <w:rsid w:val="6401622D"/>
    <w:rsid w:val="65B93C67"/>
    <w:rsid w:val="669A4FC6"/>
    <w:rsid w:val="673A43C3"/>
    <w:rsid w:val="67AB6C2C"/>
    <w:rsid w:val="67BC7440"/>
    <w:rsid w:val="68197D1D"/>
    <w:rsid w:val="6AB22900"/>
    <w:rsid w:val="6B8024F0"/>
    <w:rsid w:val="6C3528C7"/>
    <w:rsid w:val="6D7E6AD2"/>
    <w:rsid w:val="6E19241B"/>
    <w:rsid w:val="6E9C3399"/>
    <w:rsid w:val="6F073BDA"/>
    <w:rsid w:val="6F102882"/>
    <w:rsid w:val="71010D2F"/>
    <w:rsid w:val="72024232"/>
    <w:rsid w:val="73893637"/>
    <w:rsid w:val="740D14E0"/>
    <w:rsid w:val="741661E7"/>
    <w:rsid w:val="76945D8B"/>
    <w:rsid w:val="76C11EED"/>
    <w:rsid w:val="78186E91"/>
    <w:rsid w:val="7A2365B2"/>
    <w:rsid w:val="7ADF3369"/>
    <w:rsid w:val="7B597A93"/>
    <w:rsid w:val="7BB10514"/>
    <w:rsid w:val="7C4469A0"/>
    <w:rsid w:val="7F19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customStyle="1" w:styleId="6">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412</Words>
  <Characters>2355</Characters>
  <Lines>19</Lines>
  <Paragraphs>5</Paragraphs>
  <TotalTime>1</TotalTime>
  <ScaleCrop>false</ScaleCrop>
  <LinksUpToDate>false</LinksUpToDate>
  <CharactersWithSpaces>2762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2023-08-04T07:45:00Z</dcterms:created>
  <dc:creator>回忆か~捉不到</dc:creator>
  <cp:lastModifiedBy>李志军</cp:lastModifiedBy>
  <cp:lastPrinted>2022-09-01T06:19:00Z</cp:lastPrinted>
  <dcterms:modified xsi:type="dcterms:W3CDTF">2024-12-19T08:12:28Z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FE0986C2C97C4F0994C88D2FC4092E30_13</vt:lpwstr>
  </property>
</Properties>
</file>