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ind w:firstLine="2894" w:firstLineChars="90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农用地转用方案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计量单位：公顷</w:t>
      </w:r>
      <w:r>
        <w:rPr>
          <w:rFonts w:hint="eastAsia"/>
          <w:sz w:val="18"/>
          <w:szCs w:val="18"/>
        </w:rPr>
        <w:t>、公里、个、万元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05"/>
        <w:gridCol w:w="346"/>
        <w:gridCol w:w="574"/>
        <w:gridCol w:w="1140"/>
        <w:gridCol w:w="975"/>
        <w:gridCol w:w="1316"/>
        <w:gridCol w:w="132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建设用地项目名称</w:t>
            </w:r>
          </w:p>
        </w:tc>
        <w:tc>
          <w:tcPr>
            <w:tcW w:w="659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广州市南沙区2024年度第五十一批次城镇建设用地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申请用地总面积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新增建设用地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申请转用面积情况</w:t>
            </w:r>
          </w:p>
        </w:tc>
        <w:tc>
          <w:tcPr>
            <w:tcW w:w="2325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权属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地类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其中：集体用地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（一）农用地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耕地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0.2280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其中永久基本农田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（二）未利用地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4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土地利用计划情况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是否符合规划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规划级别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6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申请使用国家计划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已安排使用省级计划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新增建设用地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农用地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其中：耕地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新增建设用地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农用地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0.2407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4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补充耕地情况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需补充耕地数量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0.2280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已补充耕地数量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补充耕地确认信息编号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440000202426344612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补充耕地实际总费用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6.384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05"/>
        <w:gridCol w:w="1020"/>
        <w:gridCol w:w="1140"/>
        <w:gridCol w:w="975"/>
        <w:gridCol w:w="264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344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节约集约用地情况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申请用地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原有用地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（改扩建项目）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指标控制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所选取单项指标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对应的具体条件参数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节地技术、模式应用情况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市、县人民政府自然资源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主管部门审核意见</w:t>
            </w:r>
          </w:p>
        </w:tc>
        <w:tc>
          <w:tcPr>
            <w:tcW w:w="7038" w:type="dxa"/>
            <w:gridSpan w:val="5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主管领导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市、县人民政府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7038" w:type="dxa"/>
            <w:gridSpan w:val="5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主管领导                                   日期：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2NhNjZjN2E5YzdmYzEyZGNmNzYyMGZkOWZjNjEifQ=="/>
  </w:docVars>
  <w:rsids>
    <w:rsidRoot w:val="39114820"/>
    <w:rsid w:val="11724BAC"/>
    <w:rsid w:val="128A5500"/>
    <w:rsid w:val="3911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2024-06-05T08:39:00Z</dcterms:created>
  <dc:creator>ASUS</dc:creator>
  <cp:lastModifiedBy>宫宇恒</cp:lastModifiedBy>
  <dcterms:modified xsi:type="dcterms:W3CDTF">2025-02-11T03:16:26Z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0666B48A158343C282ADC51B5C9DC702_11</vt:lpwstr>
  </property>
</Properties>
</file>