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E9CD">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14:paraId="6FF15F85">
      <w:pPr>
        <w:pStyle w:val="3"/>
        <w:ind w:left="0" w:leftChars="0" w:firstLine="0" w:firstLineChars="0"/>
        <w:rPr>
          <w:rFonts w:hint="eastAsia" w:ascii="Times New Roman" w:hAnsi="Times New Roman" w:eastAsia="方正小标宋简体" w:cs="Times New Roman"/>
          <w:color w:val="000000"/>
          <w:sz w:val="44"/>
          <w:szCs w:val="44"/>
          <w:highlight w:val="none"/>
          <w:lang w:val="en-US" w:eastAsia="zh-CN"/>
        </w:rPr>
      </w:pPr>
    </w:p>
    <w:p w14:paraId="7B16B4BF">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关于广州市黄埔区（中新广州知识城）</w:t>
      </w:r>
    </w:p>
    <w:p w14:paraId="4D680928">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2024年度第三十批次</w:t>
      </w:r>
      <w:r>
        <w:rPr>
          <w:rFonts w:hint="default" w:ascii="Times New Roman" w:hAnsi="Times New Roman" w:eastAsia="方正小标宋简体" w:cs="Times New Roman"/>
          <w:color w:val="000000"/>
          <w:sz w:val="44"/>
          <w:szCs w:val="44"/>
          <w:lang w:val="en-US" w:eastAsia="zh-CN"/>
        </w:rPr>
        <w:t>城镇建设</w:t>
      </w:r>
    </w:p>
    <w:p w14:paraId="47B866B2">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用地</w:t>
      </w:r>
      <w:r>
        <w:rPr>
          <w:rFonts w:hint="eastAsia" w:ascii="Times New Roman" w:hAnsi="Times New Roman" w:eastAsia="方正小标宋简体" w:cs="Times New Roman"/>
          <w:color w:val="000000"/>
          <w:sz w:val="44"/>
          <w:szCs w:val="44"/>
          <w:highlight w:val="none"/>
          <w:lang w:val="en-US" w:eastAsia="zh-CN"/>
        </w:rPr>
        <w:t>(</w:t>
      </w:r>
      <w:r>
        <w:rPr>
          <w:rFonts w:hint="eastAsia" w:ascii="方正小标宋简体" w:hAnsi="方正小标宋简体" w:eastAsia="方正小标宋简体" w:cs="方正小标宋简体"/>
          <w:i w:val="0"/>
          <w:caps w:val="0"/>
          <w:color w:val="000000"/>
          <w:spacing w:val="-6"/>
          <w:kern w:val="0"/>
          <w:sz w:val="40"/>
          <w:szCs w:val="40"/>
          <w:shd w:val="clear" w:color="auto" w:fill="FFFFFF"/>
          <w:lang w:val="en-US" w:eastAsia="zh-CN" w:bidi="ar"/>
        </w:rPr>
        <w:t>14.7270亩</w:t>
      </w:r>
      <w:r>
        <w:rPr>
          <w:rFonts w:hint="eastAsia" w:ascii="Times New Roman" w:hAnsi="Times New Roman" w:eastAsia="方正小标宋简体" w:cs="Times New Roman"/>
          <w:color w:val="000000"/>
          <w:sz w:val="44"/>
          <w:szCs w:val="44"/>
          <w:highlight w:val="none"/>
          <w:lang w:val="en-US" w:eastAsia="zh-CN"/>
        </w:rPr>
        <w:t>)</w:t>
      </w:r>
      <w:r>
        <w:rPr>
          <w:rFonts w:hint="default" w:ascii="Times New Roman" w:hAnsi="Times New Roman" w:eastAsia="方正小标宋简体" w:cs="Times New Roman"/>
          <w:color w:val="000000"/>
          <w:sz w:val="44"/>
          <w:szCs w:val="44"/>
          <w:lang w:val="en-US" w:eastAsia="zh-CN"/>
        </w:rPr>
        <w:t>项目被征地</w:t>
      </w:r>
    </w:p>
    <w:p w14:paraId="000EF81A">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农民养老保障方案</w:t>
      </w:r>
    </w:p>
    <w:p w14:paraId="529CD7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32"/>
          <w:highlight w:val="none"/>
        </w:rPr>
      </w:pPr>
    </w:p>
    <w:p w14:paraId="79B00C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u w:val="single"/>
        </w:rPr>
      </w:pPr>
      <w:r>
        <w:rPr>
          <w:rFonts w:hint="default" w:ascii="Times New Roman" w:hAnsi="Times New Roman" w:eastAsia="仿宋_GB2312" w:cs="Times New Roman"/>
          <w:color w:val="000000"/>
          <w:kern w:val="0"/>
          <w:sz w:val="32"/>
          <w:szCs w:val="32"/>
          <w:highlight w:val="none"/>
          <w:shd w:val="clear" w:color="auto" w:fill="FFFFFF"/>
          <w:lang w:bidi="ar"/>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黄埔区（中新广州知识城）</w:t>
      </w:r>
      <w:r>
        <w:rPr>
          <w:rFonts w:hint="eastAsia" w:ascii="Times New Roman" w:hAnsi="Times New Roman" w:eastAsia="仿宋_GB2312" w:cs="Times New Roman"/>
          <w:color w:val="000000"/>
          <w:kern w:val="0"/>
          <w:sz w:val="32"/>
          <w:szCs w:val="32"/>
          <w:highlight w:val="none"/>
          <w:shd w:val="clear" w:color="auto" w:fill="FFFFFF"/>
          <w:lang w:eastAsia="zh-CN" w:bidi="ar"/>
        </w:rPr>
        <w:t>2024年度第三十批次</w:t>
      </w:r>
      <w:r>
        <w:rPr>
          <w:rFonts w:hint="default" w:ascii="Times New Roman" w:hAnsi="Times New Roman" w:eastAsia="仿宋_GB2312" w:cs="Times New Roman"/>
          <w:color w:val="000000"/>
          <w:kern w:val="0"/>
          <w:sz w:val="32"/>
          <w:szCs w:val="32"/>
          <w:highlight w:val="none"/>
          <w:shd w:val="clear" w:color="auto" w:fill="FFFFFF"/>
          <w:lang w:bidi="ar"/>
        </w:rPr>
        <w:t>城镇建设用地（</w:t>
      </w:r>
      <w:r>
        <w:rPr>
          <w:rFonts w:hint="eastAsia" w:ascii="Times New Roman" w:hAnsi="Times New Roman" w:eastAsia="仿宋_GB2312" w:cs="Times New Roman"/>
          <w:color w:val="000000"/>
          <w:kern w:val="0"/>
          <w:sz w:val="32"/>
          <w:szCs w:val="32"/>
          <w:highlight w:val="none"/>
          <w:shd w:val="clear" w:color="auto" w:fill="FFFFFF"/>
          <w:lang w:eastAsia="zh-CN" w:bidi="ar"/>
        </w:rPr>
        <w:t>14.7270亩</w:t>
      </w:r>
      <w:r>
        <w:rPr>
          <w:rFonts w:hint="default" w:ascii="Times New Roman" w:hAnsi="Times New Roman" w:eastAsia="仿宋_GB2312" w:cs="Times New Roman"/>
          <w:color w:val="000000"/>
          <w:kern w:val="0"/>
          <w:sz w:val="32"/>
          <w:szCs w:val="32"/>
          <w:highlight w:val="none"/>
          <w:shd w:val="clear" w:color="auto" w:fill="FFFFFF"/>
          <w:lang w:bidi="ar"/>
        </w:rPr>
        <w:t>）被征地农民养老保障方案如下：</w:t>
      </w:r>
    </w:p>
    <w:p w14:paraId="117B57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highlight w:val="none"/>
        </w:rPr>
      </w:pPr>
      <w:r>
        <w:rPr>
          <w:rFonts w:ascii="Times New Roman" w:hAnsi="Times New Roman" w:eastAsia="黑体" w:cs="Times New Roman"/>
          <w:kern w:val="0"/>
          <w:sz w:val="32"/>
          <w:szCs w:val="32"/>
          <w:highlight w:val="none"/>
        </w:rPr>
        <w:t>一、对</w:t>
      </w:r>
      <w:r>
        <w:rPr>
          <w:rFonts w:hint="eastAsia" w:ascii="Times New Roman" w:hAnsi="Times New Roman" w:eastAsia="黑体" w:cs="Times New Roman"/>
          <w:sz w:val="32"/>
          <w:szCs w:val="32"/>
          <w:highlight w:val="none"/>
          <w:lang w:eastAsia="zh-CN"/>
        </w:rPr>
        <w:t>广州市黄埔区（中新广州知识城）2024年度第三十批次城镇建设用地</w:t>
      </w:r>
      <w:r>
        <w:rPr>
          <w:rFonts w:hint="eastAsia" w:ascii="Times New Roman" w:hAnsi="Times New Roman" w:eastAsia="黑体" w:cs="Times New Roman"/>
          <w:kern w:val="0"/>
          <w:sz w:val="32"/>
          <w:szCs w:val="32"/>
          <w:highlight w:val="none"/>
        </w:rPr>
        <w:t>（</w:t>
      </w:r>
      <w:r>
        <w:rPr>
          <w:rFonts w:hint="eastAsia" w:ascii="Times New Roman" w:hAnsi="Times New Roman" w:eastAsia="黑体" w:cs="Times New Roman"/>
          <w:kern w:val="0"/>
          <w:sz w:val="32"/>
          <w:szCs w:val="32"/>
          <w:highlight w:val="none"/>
          <w:lang w:val="en-US" w:eastAsia="zh-CN"/>
        </w:rPr>
        <w:t>14.7270亩</w:t>
      </w:r>
      <w:r>
        <w:rPr>
          <w:rFonts w:hint="eastAsia" w:ascii="Times New Roman" w:hAnsi="Times New Roman" w:eastAsia="黑体" w:cs="Times New Roman"/>
          <w:kern w:val="0"/>
          <w:sz w:val="32"/>
          <w:szCs w:val="32"/>
          <w:highlight w:val="none"/>
        </w:rPr>
        <w:t>）涉及的被征地农民实施社会养老保障。</w:t>
      </w:r>
    </w:p>
    <w:p w14:paraId="22370D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黑体" w:hAnsi="黑体" w:eastAsia="黑体" w:cs="Times New Roman"/>
          <w:bCs/>
          <w:kern w:val="0"/>
          <w:sz w:val="32"/>
          <w:szCs w:val="32"/>
          <w:highlight w:val="none"/>
          <w:shd w:val="clear" w:color="auto" w:fill="FFFFFF"/>
          <w:lang w:val="en-US" w:eastAsia="zh-CN"/>
        </w:rPr>
        <w:t>二</w:t>
      </w:r>
      <w:r>
        <w:rPr>
          <w:rFonts w:hint="eastAsia" w:ascii="黑体" w:hAnsi="黑体" w:eastAsia="黑体" w:cs="Times New Roman"/>
          <w:bCs/>
          <w:kern w:val="0"/>
          <w:sz w:val="32"/>
          <w:szCs w:val="32"/>
          <w:highlight w:val="none"/>
          <w:shd w:val="clear" w:color="auto" w:fill="FFFFFF"/>
        </w:rPr>
        <w:t>、征地社保费筹集</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sz w:val="32"/>
          <w:szCs w:val="32"/>
          <w:highlight w:val="none"/>
          <w:lang w:eastAsia="zh-CN"/>
        </w:rPr>
        <w:t>依据广州市规划和自然资源局黄埔区分局提供情况，该项目征收我区</w:t>
      </w:r>
      <w:r>
        <w:rPr>
          <w:rFonts w:hint="default" w:ascii="Times New Roman" w:hAnsi="Times New Roman" w:eastAsia="仿宋_GB2312" w:cs="Times New Roman"/>
          <w:sz w:val="32"/>
          <w:szCs w:val="32"/>
          <w:highlight w:val="none"/>
          <w:lang w:val="en-US" w:eastAsia="zh-CN"/>
        </w:rPr>
        <w:t>龙湖街大涵村经济联合社</w:t>
      </w:r>
      <w:r>
        <w:rPr>
          <w:rFonts w:hint="eastAsia" w:ascii="Times New Roman" w:hAnsi="Times New Roman" w:eastAsia="仿宋_GB2312" w:cs="Times New Roman"/>
          <w:sz w:val="32"/>
          <w:szCs w:val="32"/>
          <w:highlight w:val="none"/>
          <w:lang w:val="en-US" w:eastAsia="zh-CN"/>
        </w:rPr>
        <w:t>面积</w:t>
      </w:r>
      <w:r>
        <w:rPr>
          <w:rFonts w:hint="default" w:ascii="Times New Roman" w:hAnsi="Times New Roman" w:eastAsia="仿宋_GB2312" w:cs="Times New Roman"/>
          <w:sz w:val="32"/>
          <w:szCs w:val="32"/>
          <w:highlight w:val="none"/>
          <w:lang w:val="en-US" w:eastAsia="zh-CN"/>
        </w:rPr>
        <w:t>共13.7085亩；新龙镇福洞村经济联合社、福洞村下坊经济合作社</w:t>
      </w:r>
      <w:r>
        <w:rPr>
          <w:rFonts w:hint="eastAsia" w:ascii="Times New Roman" w:hAnsi="Times New Roman" w:eastAsia="仿宋_GB2312" w:cs="Times New Roman"/>
          <w:sz w:val="32"/>
          <w:szCs w:val="32"/>
          <w:highlight w:val="none"/>
          <w:lang w:val="en-US" w:eastAsia="zh-CN"/>
        </w:rPr>
        <w:t>面积</w:t>
      </w:r>
      <w:r>
        <w:rPr>
          <w:rFonts w:hint="default" w:ascii="Times New Roman" w:hAnsi="Times New Roman" w:eastAsia="仿宋_GB2312" w:cs="Times New Roman"/>
          <w:sz w:val="32"/>
          <w:szCs w:val="32"/>
          <w:highlight w:val="none"/>
          <w:lang w:val="en-US" w:eastAsia="zh-CN"/>
        </w:rPr>
        <w:t>共1.0185亩，</w:t>
      </w:r>
      <w:r>
        <w:rPr>
          <w:rFonts w:hint="eastAsia" w:ascii="Times New Roman" w:hAnsi="Times New Roman" w:eastAsia="仿宋_GB2312" w:cs="Times New Roman"/>
          <w:sz w:val="32"/>
          <w:szCs w:val="32"/>
          <w:highlight w:val="none"/>
          <w:lang w:val="en-US" w:eastAsia="zh-CN"/>
        </w:rPr>
        <w:t>面积</w:t>
      </w:r>
      <w:r>
        <w:rPr>
          <w:rFonts w:hint="default" w:ascii="Times New Roman" w:hAnsi="Times New Roman" w:eastAsia="仿宋_GB2312" w:cs="Times New Roman"/>
          <w:sz w:val="32"/>
          <w:szCs w:val="32"/>
          <w:highlight w:val="none"/>
          <w:lang w:val="en-US" w:eastAsia="zh-CN"/>
        </w:rPr>
        <w:t>合计14.7270亩</w:t>
      </w:r>
      <w:r>
        <w:rPr>
          <w:rFonts w:hint="eastAsia" w:ascii="Times New Roman" w:hAnsi="Times New Roman" w:eastAsia="仿宋_GB2312" w:cs="Times New Roman"/>
          <w:sz w:val="32"/>
          <w:szCs w:val="32"/>
          <w:highlight w:val="none"/>
          <w:lang w:eastAsia="zh-CN"/>
        </w:rPr>
        <w:t>，其中</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亩属于农村集体经济组织留用地，征地双方于</w:t>
      </w:r>
      <w:r>
        <w:rPr>
          <w:rFonts w:hint="eastAsia" w:ascii="Times New Roman" w:hAnsi="Times New Roman" w:eastAsia="仿宋_GB2312" w:cs="Times New Roman"/>
          <w:sz w:val="32"/>
          <w:szCs w:val="32"/>
          <w:highlight w:val="none"/>
          <w:lang w:val="en-US" w:eastAsia="zh-CN"/>
        </w:rPr>
        <w:t>2021</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1日后</w:t>
      </w:r>
      <w:r>
        <w:rPr>
          <w:rFonts w:hint="eastAsia" w:ascii="Times New Roman" w:hAnsi="Times New Roman" w:eastAsia="仿宋_GB2312" w:cs="Times New Roman"/>
          <w:sz w:val="32"/>
          <w:szCs w:val="32"/>
          <w:highlight w:val="none"/>
          <w:lang w:eastAsia="zh-CN"/>
        </w:rPr>
        <w:t>签订征地补偿安置协议。该项目征地社保费应按</w:t>
      </w:r>
      <w:r>
        <w:rPr>
          <w:rFonts w:hint="eastAsia" w:ascii="Times New Roman" w:hAnsi="Times New Roman" w:eastAsia="仿宋_GB2312" w:cs="Times New Roman"/>
          <w:sz w:val="32"/>
          <w:szCs w:val="32"/>
          <w:highlight w:val="none"/>
          <w:lang w:val="en-US" w:eastAsia="zh-CN"/>
        </w:rPr>
        <w:t>2.47</w:t>
      </w:r>
      <w:r>
        <w:rPr>
          <w:rFonts w:hint="eastAsia" w:ascii="Times New Roman" w:hAnsi="Times New Roman" w:eastAsia="仿宋_GB2312" w:cs="Times New Roman"/>
          <w:sz w:val="32"/>
          <w:szCs w:val="32"/>
          <w:highlight w:val="none"/>
          <w:lang w:eastAsia="zh-CN"/>
        </w:rPr>
        <w:t>万/亩的标准计提（即征地补偿安置方案制定时，我区每亩平均征收农用地综合区片地价</w:t>
      </w:r>
      <w:r>
        <w:rPr>
          <w:rFonts w:hint="eastAsia" w:ascii="Times New Roman" w:hAnsi="Times New Roman" w:eastAsia="仿宋_GB2312" w:cs="Times New Roman"/>
          <w:sz w:val="32"/>
          <w:szCs w:val="32"/>
          <w:highlight w:val="none"/>
          <w:lang w:val="en-US" w:eastAsia="zh-CN"/>
        </w:rPr>
        <w:t>21.84</w:t>
      </w:r>
      <w:r>
        <w:rPr>
          <w:rFonts w:hint="eastAsia" w:ascii="Times New Roman" w:hAnsi="Times New Roman" w:eastAsia="仿宋_GB2312" w:cs="Times New Roman"/>
          <w:sz w:val="32"/>
          <w:szCs w:val="32"/>
          <w:highlight w:val="none"/>
          <w:lang w:eastAsia="zh-CN"/>
        </w:rPr>
        <w:t>万元/亩乘以对应广州市</w:t>
      </w: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lang w:eastAsia="zh-CN"/>
        </w:rPr>
        <w:t>级</w:t>
      </w:r>
      <w:r>
        <w:rPr>
          <w:rFonts w:hint="eastAsia" w:ascii="Times New Roman" w:hAnsi="Times New Roman" w:eastAsia="仿宋_GB2312" w:cs="Times New Roman"/>
          <w:sz w:val="32"/>
          <w:szCs w:val="32"/>
          <w:highlight w:val="none"/>
          <w:lang w:val="en-US" w:eastAsia="zh-CN"/>
        </w:rPr>
        <w:t>十</w:t>
      </w:r>
      <w:r>
        <w:rPr>
          <w:rFonts w:hint="eastAsia" w:ascii="Times New Roman" w:hAnsi="Times New Roman" w:eastAsia="仿宋_GB2312" w:cs="Times New Roman"/>
          <w:sz w:val="32"/>
          <w:szCs w:val="32"/>
          <w:highlight w:val="none"/>
          <w:lang w:eastAsia="zh-CN"/>
        </w:rPr>
        <w:t>档计提比例</w:t>
      </w:r>
      <w:r>
        <w:rPr>
          <w:rFonts w:hint="eastAsia"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lang w:eastAsia="zh-CN"/>
        </w:rPr>
        <w:t>%，因计算结果</w:t>
      </w:r>
      <w:r>
        <w:rPr>
          <w:rFonts w:hint="eastAsia" w:ascii="Times New Roman" w:hAnsi="Times New Roman" w:eastAsia="仿宋_GB2312" w:cs="Times New Roman"/>
          <w:sz w:val="32"/>
          <w:szCs w:val="32"/>
          <w:highlight w:val="none"/>
          <w:lang w:val="en-US" w:eastAsia="zh-CN"/>
        </w:rPr>
        <w:t>2.4024</w:t>
      </w:r>
      <w:r>
        <w:rPr>
          <w:rFonts w:hint="eastAsia" w:ascii="Times New Roman" w:hAnsi="Times New Roman" w:eastAsia="仿宋_GB2312" w:cs="Times New Roman"/>
          <w:sz w:val="32"/>
          <w:szCs w:val="32"/>
          <w:highlight w:val="none"/>
          <w:lang w:eastAsia="zh-CN"/>
        </w:rPr>
        <w:t>万元/亩低于该档最低计提标准</w:t>
      </w:r>
      <w:r>
        <w:rPr>
          <w:rFonts w:hint="eastAsia" w:ascii="Times New Roman" w:hAnsi="Times New Roman" w:eastAsia="仿宋_GB2312" w:cs="Times New Roman"/>
          <w:sz w:val="32"/>
          <w:szCs w:val="32"/>
          <w:highlight w:val="none"/>
          <w:lang w:val="en-US" w:eastAsia="zh-CN"/>
        </w:rPr>
        <w:t>2.47</w:t>
      </w:r>
      <w:r>
        <w:rPr>
          <w:rFonts w:hint="eastAsia" w:ascii="Times New Roman" w:hAnsi="Times New Roman" w:eastAsia="仿宋_GB2312" w:cs="Times New Roman"/>
          <w:sz w:val="32"/>
          <w:szCs w:val="32"/>
          <w:highlight w:val="none"/>
          <w:lang w:eastAsia="zh-CN"/>
        </w:rPr>
        <w:t>万元/亩，按最低计提标准执行），其中</w:t>
      </w:r>
      <w:r>
        <w:rPr>
          <w:rFonts w:hint="eastAsia" w:ascii="Times New Roman" w:hAnsi="Times New Roman" w:eastAsia="仿宋_GB2312" w:cs="Times New Roman"/>
          <w:sz w:val="32"/>
          <w:szCs w:val="32"/>
          <w:highlight w:val="none"/>
          <w:lang w:val="en-US" w:eastAsia="zh-CN"/>
        </w:rPr>
        <w:t>0.0000</w:t>
      </w:r>
      <w:r>
        <w:rPr>
          <w:rFonts w:hint="eastAsia" w:ascii="Times New Roman" w:hAnsi="Times New Roman" w:eastAsia="仿宋_GB2312" w:cs="Times New Roman"/>
          <w:sz w:val="32"/>
          <w:szCs w:val="32"/>
          <w:highlight w:val="none"/>
          <w:lang w:eastAsia="zh-CN"/>
        </w:rPr>
        <w:t>亩属于农村集体经济组织留用地，按规定不计提征地社保费，需计提</w:t>
      </w:r>
      <w:r>
        <w:rPr>
          <w:rFonts w:hint="eastAsia" w:ascii="Times New Roman" w:hAnsi="Times New Roman" w:eastAsia="仿宋_GB2312" w:cs="Times New Roman"/>
          <w:sz w:val="32"/>
          <w:szCs w:val="32"/>
          <w:highlight w:val="none"/>
          <w:lang w:val="en-US" w:eastAsia="zh-CN"/>
        </w:rPr>
        <w:t>费用</w:t>
      </w:r>
      <w:r>
        <w:rPr>
          <w:rFonts w:hint="eastAsia" w:ascii="Times New Roman" w:hAnsi="Times New Roman" w:eastAsia="仿宋_GB2312" w:cs="Times New Roman"/>
          <w:sz w:val="32"/>
          <w:szCs w:val="32"/>
          <w:highlight w:val="none"/>
          <w:lang w:eastAsia="zh-CN"/>
        </w:rPr>
        <w:t>共</w:t>
      </w:r>
      <w:r>
        <w:rPr>
          <w:rFonts w:hint="eastAsia" w:ascii="Times New Roman" w:hAnsi="Times New Roman" w:eastAsia="仿宋_GB2312" w:cs="Times New Roman"/>
          <w:sz w:val="32"/>
          <w:szCs w:val="32"/>
          <w:highlight w:val="none"/>
          <w:lang w:val="en-US" w:eastAsia="zh-CN"/>
        </w:rPr>
        <w:t>36.39</w:t>
      </w:r>
      <w:r>
        <w:rPr>
          <w:rFonts w:hint="eastAsia" w:ascii="Times New Roman" w:hAnsi="Times New Roman" w:eastAsia="仿宋_GB2312" w:cs="Times New Roman"/>
          <w:sz w:val="32"/>
          <w:szCs w:val="32"/>
          <w:highlight w:val="none"/>
          <w:lang w:eastAsia="zh-CN"/>
        </w:rPr>
        <w:t>万元由征地主体（用地单位）一次性预存入我区人力资源社会保障部门开设的“收缴被征地农民养老保障资金过渡户”，</w:t>
      </w:r>
      <w:r>
        <w:rPr>
          <w:rFonts w:hint="eastAsia" w:ascii="Times New Roman" w:hAnsi="Times New Roman" w:eastAsia="仿宋_GB2312" w:cs="Times New Roman"/>
          <w:sz w:val="32"/>
          <w:szCs w:val="32"/>
          <w:highlight w:val="none"/>
          <w:lang w:val="en-US" w:eastAsia="zh-CN"/>
        </w:rPr>
        <w:t>单列计提并计入</w:t>
      </w:r>
      <w:r>
        <w:rPr>
          <w:rFonts w:hint="eastAsia" w:ascii="Times New Roman" w:hAnsi="Times New Roman" w:eastAsia="仿宋_GB2312" w:cs="Times New Roman"/>
          <w:sz w:val="32"/>
          <w:szCs w:val="32"/>
          <w:highlight w:val="none"/>
          <w:lang w:eastAsia="zh-CN"/>
        </w:rPr>
        <w:t>征地成本，纳入工程项目概算。</w:t>
      </w:r>
    </w:p>
    <w:p w14:paraId="15AFEB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kern w:val="0"/>
          <w:sz w:val="32"/>
          <w:szCs w:val="32"/>
          <w:highlight w:val="none"/>
          <w:shd w:val="clear" w:color="auto" w:fill="FFFFFF"/>
          <w:lang w:bidi="ar"/>
        </w:rPr>
      </w:pPr>
      <w:r>
        <w:rPr>
          <w:rFonts w:hint="eastAsia" w:ascii="Times New Roman" w:hAnsi="Times New Roman" w:eastAsia="黑体" w:cs="Times New Roman"/>
          <w:kern w:val="0"/>
          <w:sz w:val="32"/>
          <w:szCs w:val="32"/>
          <w:highlight w:val="none"/>
          <w:lang w:val="en-US" w:eastAsia="zh-CN"/>
        </w:rPr>
        <w:t>三</w:t>
      </w:r>
      <w:r>
        <w:rPr>
          <w:rFonts w:ascii="Times New Roman" w:hAnsi="Times New Roman" w:eastAsia="黑体" w:cs="Times New Roman"/>
          <w:kern w:val="0"/>
          <w:sz w:val="32"/>
          <w:szCs w:val="32"/>
          <w:highlight w:val="none"/>
        </w:rPr>
        <w:t>、</w:t>
      </w:r>
      <w:r>
        <w:rPr>
          <w:rFonts w:hint="eastAsia" w:ascii="黑体" w:hAnsi="黑体" w:eastAsia="黑体" w:cs="Times New Roman"/>
          <w:bCs/>
          <w:kern w:val="0"/>
          <w:sz w:val="32"/>
          <w:szCs w:val="32"/>
          <w:highlight w:val="none"/>
          <w:shd w:val="clear" w:color="auto" w:fill="FFFFFF"/>
        </w:rPr>
        <w:t>征地社保费补贴对象</w:t>
      </w:r>
      <w:r>
        <w:rPr>
          <w:rFonts w:ascii="Times New Roman" w:hAnsi="Times New Roman" w:eastAsia="黑体" w:cs="Times New Roman"/>
          <w:kern w:val="0"/>
          <w:sz w:val="32"/>
          <w:szCs w:val="32"/>
          <w:highlight w:val="none"/>
        </w:rPr>
        <w:t>。</w:t>
      </w:r>
      <w:r>
        <w:rPr>
          <w:rFonts w:hint="eastAsia" w:ascii="Times New Roman" w:hAnsi="Times New Roman" w:eastAsia="仿宋_GB2312" w:cs="Times New Roman"/>
          <w:sz w:val="32"/>
          <w:szCs w:val="32"/>
          <w:highlight w:val="none"/>
          <w:lang w:eastAsia="zh-CN"/>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197D36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imes New Roman"/>
          <w:b w:val="0"/>
          <w:bCs/>
          <w:kern w:val="0"/>
          <w:sz w:val="32"/>
          <w:szCs w:val="32"/>
          <w:highlight w:val="none"/>
          <w:shd w:val="clear" w:color="auto" w:fill="FFFFFF"/>
        </w:rPr>
      </w:pPr>
      <w:r>
        <w:rPr>
          <w:rFonts w:hint="eastAsia" w:ascii="黑体" w:hAnsi="黑体" w:eastAsia="黑体" w:cs="Times New Roman"/>
          <w:bCs/>
          <w:kern w:val="0"/>
          <w:sz w:val="32"/>
          <w:szCs w:val="32"/>
          <w:highlight w:val="none"/>
          <w:shd w:val="clear" w:color="auto" w:fill="FFFFFF"/>
        </w:rPr>
        <w:t>四、征地社保费</w:t>
      </w:r>
      <w:r>
        <w:rPr>
          <w:rFonts w:hint="eastAsia" w:ascii="黑体" w:hAnsi="黑体" w:eastAsia="黑体" w:cs="Times New Roman"/>
          <w:bCs/>
          <w:kern w:val="0"/>
          <w:sz w:val="32"/>
          <w:szCs w:val="32"/>
          <w:highlight w:val="none"/>
          <w:shd w:val="clear" w:color="auto" w:fill="FFFFFF"/>
          <w:lang w:val="en-US" w:eastAsia="zh-CN"/>
        </w:rPr>
        <w:t>分配</w:t>
      </w:r>
      <w:r>
        <w:rPr>
          <w:rFonts w:hint="eastAsia" w:ascii="黑体" w:hAnsi="黑体" w:eastAsia="黑体" w:cs="Times New Roman"/>
          <w:bCs/>
          <w:kern w:val="0"/>
          <w:sz w:val="32"/>
          <w:szCs w:val="32"/>
          <w:highlight w:val="none"/>
          <w:shd w:val="clear" w:color="auto" w:fill="FFFFFF"/>
        </w:rPr>
        <w:t>。</w:t>
      </w:r>
      <w:r>
        <w:rPr>
          <w:rFonts w:hint="eastAsia" w:ascii="仿宋_GB2312" w:hAnsi="仿宋_GB2312" w:eastAsia="仿宋_GB2312" w:cs="仿宋_GB2312"/>
          <w:b/>
          <w:color w:val="auto"/>
          <w:sz w:val="32"/>
          <w:szCs w:val="20"/>
        </w:rPr>
        <w:t>一是</w:t>
      </w:r>
      <w:r>
        <w:rPr>
          <w:rFonts w:hint="eastAsia" w:ascii="仿宋_GB2312" w:hAnsi="仿宋_GB2312" w:eastAsia="仿宋_GB2312" w:cs="仿宋_GB2312"/>
          <w:b w:val="0"/>
          <w:bCs/>
          <w:color w:val="auto"/>
          <w:sz w:val="32"/>
          <w:szCs w:val="20"/>
        </w:rPr>
        <w:t>征地社保费专款用于被征地农民的基本养老保险补贴</w:t>
      </w:r>
      <w:r>
        <w:rPr>
          <w:rFonts w:hint="eastAsia" w:ascii="仿宋_GB2312" w:hAnsi="仿宋_GB2312" w:eastAsia="仿宋_GB2312" w:cs="仿宋_GB2312"/>
          <w:b/>
          <w:color w:val="auto"/>
          <w:sz w:val="32"/>
          <w:szCs w:val="20"/>
          <w:lang w:eastAsia="zh-CN"/>
        </w:rPr>
        <w:t>。</w:t>
      </w:r>
      <w:r>
        <w:rPr>
          <w:rFonts w:hint="eastAsia" w:ascii="仿宋_GB2312" w:hAnsi="仿宋_GB2312" w:eastAsia="仿宋_GB2312" w:cs="仿宋_GB2312"/>
          <w:b/>
          <w:color w:val="auto"/>
          <w:sz w:val="32"/>
          <w:szCs w:val="20"/>
        </w:rPr>
        <w:t>二是</w:t>
      </w:r>
      <w:r>
        <w:rPr>
          <w:rFonts w:hint="eastAsia" w:ascii="仿宋_GB2312" w:hAnsi="仿宋_GB2312" w:eastAsia="仿宋_GB2312" w:cs="仿宋_GB2312"/>
          <w:b w:val="0"/>
          <w:bCs/>
          <w:color w:val="auto"/>
          <w:sz w:val="32"/>
          <w:szCs w:val="20"/>
        </w:rPr>
        <w:t>落实“征地社保费与征地安置补偿费同期拨付”和“在项目获批后3个月内完成资金分配工作，落实参保到人”的有关规定。乡镇人民政府（街道办事处）按规定牵头做好被征地农民的失地面积及纳入征地社保费补贴范围的人数和对象审核、报送工作，及时报送所属社会保险经办部门办理社保手续。</w:t>
      </w:r>
    </w:p>
    <w:p w14:paraId="2BB9505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p>
    <w:p w14:paraId="4AC9BA12">
      <w:pPr>
        <w:pStyle w:val="3"/>
      </w:pPr>
    </w:p>
    <w:p w14:paraId="76EABDC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1" w:firstLineChars="191"/>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附表：征收土地及养老保障情况表</w:t>
      </w:r>
    </w:p>
    <w:p w14:paraId="6BBA5899">
      <w:pPr>
        <w:rPr>
          <w:rFonts w:hint="default" w:ascii="Times New Roman" w:hAnsi="Times New Roman" w:eastAsia="仿宋_GB2312" w:cs="Times New Roman"/>
          <w:kern w:val="32"/>
          <w:sz w:val="32"/>
          <w:szCs w:val="32"/>
          <w:highlight w:val="none"/>
        </w:rPr>
      </w:pPr>
    </w:p>
    <w:p w14:paraId="36301073">
      <w:pPr>
        <w:pStyle w:val="3"/>
        <w:rPr>
          <w:rFonts w:hint="default" w:ascii="Times New Roman" w:hAnsi="Times New Roman" w:eastAsia="仿宋_GB2312" w:cs="Times New Roman"/>
          <w:kern w:val="32"/>
          <w:sz w:val="32"/>
          <w:szCs w:val="32"/>
          <w:highlight w:val="none"/>
        </w:rPr>
      </w:pPr>
    </w:p>
    <w:p w14:paraId="74272DE1">
      <w:pPr>
        <w:pStyle w:val="3"/>
        <w:rPr>
          <w:rFonts w:hint="default" w:ascii="Times New Roman" w:hAnsi="Times New Roman" w:eastAsia="仿宋_GB2312" w:cs="Times New Roman"/>
          <w:kern w:val="32"/>
          <w:sz w:val="32"/>
          <w:szCs w:val="32"/>
          <w:highlight w:val="none"/>
        </w:rPr>
      </w:pPr>
    </w:p>
    <w:p w14:paraId="3F816F72">
      <w:pPr>
        <w:pStyle w:val="3"/>
        <w:rPr>
          <w:rFonts w:hint="default" w:ascii="Times New Roman" w:hAnsi="Times New Roman" w:eastAsia="仿宋_GB2312" w:cs="Times New Roman"/>
          <w:kern w:val="32"/>
          <w:sz w:val="32"/>
          <w:szCs w:val="32"/>
          <w:highlight w:val="none"/>
        </w:rPr>
      </w:pPr>
    </w:p>
    <w:p w14:paraId="2112E3D7">
      <w:pPr>
        <w:ind w:firstLine="640" w:firstLineChars="20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广州市黄埔区人力资源和社会保障局</w:t>
      </w:r>
    </w:p>
    <w:p w14:paraId="045D8C12">
      <w:pPr>
        <w:keepNext w:val="0"/>
        <w:keepLines w:val="0"/>
        <w:pageBreakBefore w:val="0"/>
        <w:widowControl w:val="0"/>
        <w:kinsoku/>
        <w:wordWrap/>
        <w:overflowPunct/>
        <w:topLinePunct w:val="0"/>
        <w:autoSpaceDE/>
        <w:autoSpaceDN/>
        <w:bidi w:val="0"/>
        <w:adjustRightInd/>
        <w:snapToGrid/>
        <w:spacing w:line="600" w:lineRule="exact"/>
        <w:ind w:left="3150" w:leftChars="1500" w:firstLine="640" w:firstLineChars="200"/>
        <w:jc w:val="center"/>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w:t>
      </w:r>
    </w:p>
    <w:p w14:paraId="7BEB732E">
      <w:pPr>
        <w:rPr>
          <w:rFonts w:hint="default" w:ascii="Times New Roman" w:hAnsi="Times New Roman" w:eastAsia="仿宋_GB2312" w:cs="Times New Roman"/>
          <w:kern w:val="32"/>
          <w:sz w:val="32"/>
          <w:szCs w:val="32"/>
          <w:highlight w:val="none"/>
        </w:rPr>
      </w:pPr>
      <w:r>
        <w:rPr>
          <w:rFonts w:hint="default" w:ascii="Times New Roman" w:hAnsi="Times New Roman" w:eastAsia="仿宋_GB2312" w:cs="Times New Roman"/>
          <w:kern w:val="32"/>
          <w:sz w:val="32"/>
          <w:szCs w:val="32"/>
          <w:highlight w:val="none"/>
        </w:rPr>
        <w:br w:type="page"/>
      </w:r>
    </w:p>
    <w:p w14:paraId="52FD65CE">
      <w:pPr>
        <w:rPr>
          <w:rFonts w:hint="default" w:ascii="黑体" w:hAnsi="黑体" w:eastAsia="黑体" w:cs="黑体"/>
          <w:kern w:val="32"/>
          <w:sz w:val="32"/>
          <w:szCs w:val="32"/>
          <w:highlight w:val="none"/>
        </w:rPr>
      </w:pPr>
      <w:r>
        <w:rPr>
          <w:rFonts w:hint="default" w:ascii="黑体" w:hAnsi="黑体" w:eastAsia="黑体" w:cs="黑体"/>
          <w:kern w:val="32"/>
          <w:sz w:val="32"/>
          <w:szCs w:val="32"/>
          <w:highlight w:val="none"/>
        </w:rPr>
        <w:t>附</w:t>
      </w:r>
      <w:r>
        <w:rPr>
          <w:rFonts w:hint="eastAsia" w:ascii="黑体" w:hAnsi="黑体" w:eastAsia="黑体" w:cs="黑体"/>
          <w:kern w:val="32"/>
          <w:sz w:val="32"/>
          <w:szCs w:val="32"/>
          <w:highlight w:val="none"/>
          <w:lang w:eastAsia="zh-CN"/>
        </w:rPr>
        <w:t>表</w:t>
      </w:r>
      <w:r>
        <w:rPr>
          <w:rFonts w:hint="default" w:ascii="黑体" w:hAnsi="黑体" w:eastAsia="黑体" w:cs="黑体"/>
          <w:kern w:val="32"/>
          <w:sz w:val="32"/>
          <w:szCs w:val="32"/>
          <w:highlight w:val="none"/>
        </w:rPr>
        <w:t>：</w:t>
      </w:r>
    </w:p>
    <w:p w14:paraId="443862C3">
      <w:pPr>
        <w:ind w:firstLine="2200" w:firstLineChars="50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征收土地及养老保障情况表</w:t>
      </w:r>
    </w:p>
    <w:p w14:paraId="59034D14">
      <w:pPr>
        <w:ind w:firstLine="640" w:firstLineChars="200"/>
        <w:jc w:val="right"/>
        <w:rPr>
          <w:rFonts w:eastAsia="仿宋_GB2312"/>
          <w:sz w:val="32"/>
          <w:szCs w:val="32"/>
          <w:highlight w:val="none"/>
        </w:rPr>
      </w:pPr>
      <w:r>
        <w:rPr>
          <w:rFonts w:hint="eastAsia" w:eastAsia="仿宋_GB2312"/>
          <w:sz w:val="32"/>
          <w:szCs w:val="32"/>
          <w:highlight w:val="none"/>
        </w:rPr>
        <w:t>单位：亩、万元</w:t>
      </w:r>
    </w:p>
    <w:tbl>
      <w:tblPr>
        <w:tblStyle w:val="4"/>
        <w:tblW w:w="891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629"/>
        <w:gridCol w:w="2955"/>
        <w:gridCol w:w="1779"/>
        <w:gridCol w:w="1667"/>
        <w:gridCol w:w="1888"/>
      </w:tblGrid>
      <w:tr w14:paraId="089F50F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207" w:hRule="atLeast"/>
          <w:jc w:val="center"/>
        </w:trPr>
        <w:tc>
          <w:tcPr>
            <w:tcW w:w="3584" w:type="dxa"/>
            <w:gridSpan w:val="2"/>
            <w:tcBorders>
              <w:top w:val="single" w:color="auto" w:sz="4" w:space="0"/>
              <w:bottom w:val="single" w:color="auto" w:sz="4" w:space="0"/>
              <w:right w:val="single" w:color="auto" w:sz="4" w:space="0"/>
            </w:tcBorders>
            <w:noWrap w:val="0"/>
            <w:vAlign w:val="center"/>
          </w:tcPr>
          <w:p w14:paraId="6D32F031">
            <w:pPr>
              <w:widowControl/>
              <w:spacing w:line="300" w:lineRule="exact"/>
              <w:ind w:left="-25" w:leftChars="-12"/>
              <w:jc w:val="center"/>
              <w:rPr>
                <w:rFonts w:hint="eastAsia" w:ascii="仿宋_GB2312" w:hAnsi="仿宋_GB2312" w:cs="仿宋_GB2312"/>
                <w:kern w:val="0"/>
                <w:sz w:val="28"/>
                <w:szCs w:val="28"/>
              </w:rPr>
            </w:pPr>
            <w:r>
              <w:rPr>
                <w:rFonts w:hint="eastAsia" w:ascii="仿宋_GB2312" w:hAnsi="仿宋_GB2312" w:cs="仿宋_GB2312"/>
                <w:kern w:val="0"/>
                <w:sz w:val="28"/>
                <w:szCs w:val="28"/>
              </w:rPr>
              <w:t>被征地单位</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E2B3EDE">
            <w:pPr>
              <w:widowControl/>
              <w:spacing w:line="300" w:lineRule="exact"/>
              <w:ind w:left="-25" w:leftChars="-12"/>
              <w:jc w:val="center"/>
              <w:rPr>
                <w:rFonts w:hint="eastAsia" w:ascii="仿宋_GB2312" w:hAnsi="仿宋_GB2312" w:cs="仿宋_GB2312"/>
                <w:kern w:val="0"/>
                <w:sz w:val="28"/>
                <w:szCs w:val="28"/>
              </w:rPr>
            </w:pPr>
            <w:r>
              <w:rPr>
                <w:rFonts w:hint="eastAsia" w:ascii="仿宋_GB2312" w:hAnsi="仿宋_GB2312" w:cs="仿宋_GB2312"/>
                <w:kern w:val="0"/>
                <w:sz w:val="28"/>
                <w:szCs w:val="28"/>
              </w:rPr>
              <w:t>征收土地面积</w:t>
            </w:r>
          </w:p>
        </w:tc>
        <w:tc>
          <w:tcPr>
            <w:tcW w:w="16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7A86BD">
            <w:pPr>
              <w:widowControl/>
              <w:spacing w:line="300" w:lineRule="exact"/>
              <w:ind w:left="-25" w:leftChars="-12"/>
              <w:jc w:val="center"/>
              <w:rPr>
                <w:rFonts w:hint="eastAsia" w:ascii="仿宋_GB2312" w:hAnsi="仿宋_GB2312" w:cs="仿宋_GB2312"/>
                <w:kern w:val="0"/>
                <w:sz w:val="28"/>
                <w:szCs w:val="28"/>
              </w:rPr>
            </w:pPr>
            <w:r>
              <w:rPr>
                <w:rFonts w:hint="eastAsia" w:ascii="仿宋_GB2312" w:hAnsi="仿宋_GB2312" w:cs="仿宋_GB2312"/>
                <w:kern w:val="0"/>
                <w:sz w:val="28"/>
                <w:szCs w:val="28"/>
              </w:rPr>
              <w:t>其中属于被征地单位留用地面积</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431D1BB">
            <w:pPr>
              <w:widowControl/>
              <w:spacing w:line="300" w:lineRule="exact"/>
              <w:ind w:left="-25" w:leftChars="-12"/>
              <w:jc w:val="center"/>
              <w:rPr>
                <w:rFonts w:hint="eastAsia" w:ascii="仿宋_GB2312" w:hAnsi="仿宋_GB2312" w:cs="仿宋_GB2312"/>
                <w:kern w:val="0"/>
                <w:sz w:val="28"/>
                <w:szCs w:val="28"/>
              </w:rPr>
            </w:pPr>
            <w:r>
              <w:rPr>
                <w:rFonts w:hint="eastAsia" w:ascii="仿宋_GB2312" w:hAnsi="仿宋_GB2312" w:cs="仿宋_GB2312"/>
                <w:kern w:val="0"/>
                <w:sz w:val="28"/>
                <w:szCs w:val="28"/>
              </w:rPr>
              <w:t>需计提征地社保费</w:t>
            </w:r>
          </w:p>
        </w:tc>
      </w:tr>
      <w:tr w14:paraId="305E31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8" w:hRule="atLeast"/>
          <w:jc w:val="center"/>
        </w:trPr>
        <w:tc>
          <w:tcPr>
            <w:tcW w:w="629" w:type="dxa"/>
            <w:tcBorders>
              <w:top w:val="single" w:color="auto" w:sz="4" w:space="0"/>
              <w:bottom w:val="single" w:color="auto" w:sz="4" w:space="0"/>
              <w:right w:val="single" w:color="auto" w:sz="4" w:space="0"/>
            </w:tcBorders>
            <w:noWrap w:val="0"/>
            <w:vAlign w:val="center"/>
          </w:tcPr>
          <w:p w14:paraId="1A120A0C">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龙</w:t>
            </w:r>
          </w:p>
          <w:p w14:paraId="6366DDD3">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湖</w:t>
            </w:r>
          </w:p>
          <w:p w14:paraId="20BB59EA">
            <w:pPr>
              <w:widowControl/>
              <w:spacing w:line="280" w:lineRule="exact"/>
              <w:jc w:val="center"/>
              <w:textAlignment w:val="center"/>
              <w:rPr>
                <w:rFonts w:hint="eastAsia" w:ascii="Times New Roman" w:hAnsi="Times New Roman" w:eastAsia="仿宋_GB2312" w:cs="Times New Roman"/>
                <w:sz w:val="24"/>
                <w:szCs w:val="24"/>
                <w:highlight w:val="none"/>
                <w:lang w:val="en-US" w:eastAsia="zh-CN"/>
              </w:rPr>
            </w:pPr>
            <w:r>
              <w:rPr>
                <w:rFonts w:hint="eastAsia" w:ascii="仿宋_GB2312" w:hAnsi="仿宋_GB2312" w:eastAsia="仿宋_GB2312" w:cs="仿宋_GB2312"/>
                <w:color w:val="000000"/>
                <w:kern w:val="0"/>
                <w:sz w:val="24"/>
                <w:szCs w:val="24"/>
                <w:lang w:val="en-US" w:eastAsia="zh-CN" w:bidi="ar"/>
              </w:rPr>
              <w:t>街</w:t>
            </w:r>
          </w:p>
        </w:tc>
        <w:tc>
          <w:tcPr>
            <w:tcW w:w="29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E107AA">
            <w:pPr>
              <w:widowControl/>
              <w:spacing w:line="280" w:lineRule="exact"/>
              <w:jc w:val="center"/>
              <w:textAlignment w:val="center"/>
              <w:rPr>
                <w:rFonts w:hint="eastAsia" w:ascii="Times New Roman" w:hAnsi="Times New Roman" w:eastAsia="仿宋_GB2312" w:cs="Times New Roman"/>
                <w:sz w:val="24"/>
                <w:szCs w:val="24"/>
                <w:highlight w:val="none"/>
                <w:lang w:val="en-US" w:eastAsia="zh-CN"/>
              </w:rPr>
            </w:pPr>
            <w:r>
              <w:rPr>
                <w:rFonts w:hint="eastAsia" w:ascii="仿宋_GB2312" w:hAnsi="仿宋_GB2312" w:eastAsia="仿宋_GB2312" w:cs="仿宋_GB2312"/>
                <w:color w:val="000000"/>
                <w:kern w:val="0"/>
                <w:sz w:val="24"/>
                <w:szCs w:val="24"/>
                <w:lang w:val="en-US" w:eastAsia="zh-CN" w:bidi="ar"/>
              </w:rPr>
              <w:t>大涵村经济联合社</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37E7D9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13.7085</w:t>
            </w:r>
          </w:p>
        </w:tc>
        <w:tc>
          <w:tcPr>
            <w:tcW w:w="16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A417811">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3661D76">
            <w:pPr>
              <w:widowControl/>
              <w:spacing w:line="280" w:lineRule="exact"/>
              <w:jc w:val="center"/>
              <w:textAlignment w:val="center"/>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33.86</w:t>
            </w:r>
          </w:p>
        </w:tc>
      </w:tr>
      <w:tr w14:paraId="2AA882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2" w:hRule="atLeast"/>
          <w:jc w:val="center"/>
        </w:trPr>
        <w:tc>
          <w:tcPr>
            <w:tcW w:w="629" w:type="dxa"/>
            <w:vMerge w:val="restart"/>
            <w:tcBorders>
              <w:top w:val="single" w:color="auto" w:sz="4" w:space="0"/>
              <w:bottom w:val="single" w:color="auto" w:sz="4" w:space="0"/>
              <w:right w:val="single" w:color="auto" w:sz="4" w:space="0"/>
            </w:tcBorders>
            <w:noWrap w:val="0"/>
            <w:vAlign w:val="center"/>
          </w:tcPr>
          <w:p w14:paraId="5B365A13">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新</w:t>
            </w:r>
          </w:p>
          <w:p w14:paraId="0E21AF05">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龙</w:t>
            </w:r>
          </w:p>
          <w:p w14:paraId="13C3529C">
            <w:pPr>
              <w:widowControl/>
              <w:spacing w:line="280" w:lineRule="exact"/>
              <w:jc w:val="center"/>
              <w:textAlignment w:val="center"/>
              <w:rPr>
                <w:rFonts w:hint="eastAsia" w:ascii="Times New Roman" w:hAnsi="Times New Roman" w:eastAsia="仿宋_GB2312" w:cs="Times New Roman"/>
                <w:sz w:val="24"/>
                <w:szCs w:val="24"/>
                <w:highlight w:val="none"/>
                <w:lang w:val="en-US" w:eastAsia="zh-CN"/>
              </w:rPr>
            </w:pPr>
            <w:r>
              <w:rPr>
                <w:rFonts w:hint="eastAsia" w:ascii="仿宋_GB2312" w:hAnsi="仿宋_GB2312" w:eastAsia="仿宋_GB2312" w:cs="仿宋_GB2312"/>
                <w:color w:val="000000"/>
                <w:kern w:val="0"/>
                <w:sz w:val="24"/>
                <w:szCs w:val="24"/>
                <w:lang w:val="en-US" w:eastAsia="zh-CN" w:bidi="ar"/>
              </w:rPr>
              <w:t>镇</w:t>
            </w:r>
          </w:p>
        </w:tc>
        <w:tc>
          <w:tcPr>
            <w:tcW w:w="29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E74654A">
            <w:pPr>
              <w:widowControl/>
              <w:spacing w:line="280" w:lineRule="exact"/>
              <w:jc w:val="center"/>
              <w:textAlignment w:val="center"/>
              <w:rPr>
                <w:rFonts w:hint="eastAsia" w:ascii="Times New Roman" w:hAnsi="Times New Roman" w:eastAsia="仿宋_GB2312" w:cs="Times New Roman"/>
                <w:sz w:val="24"/>
                <w:szCs w:val="24"/>
                <w:highlight w:val="none"/>
                <w:lang w:val="en-US" w:eastAsia="zh-CN"/>
              </w:rPr>
            </w:pPr>
            <w:r>
              <w:rPr>
                <w:rFonts w:hint="eastAsia" w:ascii="仿宋_GB2312" w:hAnsi="仿宋_GB2312" w:eastAsia="仿宋_GB2312" w:cs="仿宋_GB2312"/>
                <w:color w:val="000000"/>
                <w:kern w:val="0"/>
                <w:sz w:val="24"/>
                <w:szCs w:val="24"/>
                <w:lang w:val="en-US" w:eastAsia="zh-CN" w:bidi="ar"/>
              </w:rPr>
              <w:t>福洞村经济联合社</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F05CDC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0.5550</w:t>
            </w:r>
          </w:p>
        </w:tc>
        <w:tc>
          <w:tcPr>
            <w:tcW w:w="16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AB98B01">
            <w:pPr>
              <w:widowControl/>
              <w:spacing w:line="28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38B56B61">
            <w:pPr>
              <w:widowControl/>
              <w:spacing w:line="280" w:lineRule="exact"/>
              <w:jc w:val="center"/>
              <w:textAlignment w:val="center"/>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1.38</w:t>
            </w:r>
          </w:p>
        </w:tc>
      </w:tr>
      <w:tr w14:paraId="5D1115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82" w:hRule="atLeast"/>
          <w:jc w:val="center"/>
        </w:trPr>
        <w:tc>
          <w:tcPr>
            <w:tcW w:w="629" w:type="dxa"/>
            <w:vMerge w:val="continue"/>
            <w:tcBorders>
              <w:top w:val="single" w:color="auto" w:sz="4" w:space="0"/>
              <w:bottom w:val="single" w:color="auto" w:sz="4" w:space="0"/>
              <w:right w:val="single" w:color="auto" w:sz="4" w:space="0"/>
            </w:tcBorders>
            <w:noWrap w:val="0"/>
            <w:vAlign w:val="center"/>
          </w:tcPr>
          <w:p w14:paraId="3C47A830">
            <w:pPr>
              <w:widowControl/>
              <w:spacing w:line="280" w:lineRule="exact"/>
              <w:jc w:val="center"/>
              <w:textAlignment w:val="center"/>
              <w:rPr>
                <w:rFonts w:hint="eastAsia" w:ascii="仿宋_GB2312" w:hAnsi="仿宋_GB2312" w:cs="仿宋_GB2312"/>
                <w:b/>
                <w:bCs/>
                <w:kern w:val="0"/>
                <w:sz w:val="24"/>
                <w:szCs w:val="24"/>
              </w:rPr>
            </w:pPr>
          </w:p>
        </w:tc>
        <w:tc>
          <w:tcPr>
            <w:tcW w:w="2955" w:type="dxa"/>
            <w:tcBorders>
              <w:top w:val="single" w:color="auto" w:sz="4" w:space="0"/>
              <w:left w:val="single" w:color="auto" w:sz="4" w:space="0"/>
              <w:bottom w:val="single" w:color="auto" w:sz="4" w:space="0"/>
              <w:right w:val="single" w:color="auto" w:sz="4" w:space="0"/>
            </w:tcBorders>
            <w:noWrap w:val="0"/>
            <w:vAlign w:val="center"/>
          </w:tcPr>
          <w:p w14:paraId="61D4D444">
            <w:pPr>
              <w:widowControl/>
              <w:spacing w:line="280" w:lineRule="exact"/>
              <w:jc w:val="center"/>
              <w:textAlignment w:val="center"/>
              <w:rPr>
                <w:sz w:val="24"/>
                <w:szCs w:val="24"/>
              </w:rPr>
            </w:pPr>
            <w:r>
              <w:rPr>
                <w:rFonts w:hint="eastAsia" w:ascii="仿宋_GB2312" w:hAnsi="仿宋_GB2312" w:eastAsia="仿宋_GB2312" w:cs="仿宋_GB2312"/>
                <w:color w:val="000000"/>
                <w:kern w:val="0"/>
                <w:sz w:val="24"/>
                <w:szCs w:val="24"/>
                <w:lang w:val="en-US" w:eastAsia="zh-CN" w:bidi="ar"/>
              </w:rPr>
              <w:t>福洞村下坊经济合作社</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729858D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0.4635</w:t>
            </w:r>
          </w:p>
        </w:tc>
        <w:tc>
          <w:tcPr>
            <w:tcW w:w="16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C29EBF0">
            <w:pPr>
              <w:widowControl/>
              <w:spacing w:line="28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0</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1D14867D">
            <w:pPr>
              <w:widowControl/>
              <w:spacing w:line="280" w:lineRule="exact"/>
              <w:jc w:val="center"/>
              <w:textAlignment w:val="center"/>
              <w:rPr>
                <w:rFonts w:hint="default"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1.15</w:t>
            </w:r>
          </w:p>
        </w:tc>
      </w:tr>
      <w:tr w14:paraId="490CCE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94" w:hRule="atLeast"/>
          <w:jc w:val="center"/>
        </w:trPr>
        <w:tc>
          <w:tcPr>
            <w:tcW w:w="3584" w:type="dxa"/>
            <w:gridSpan w:val="2"/>
            <w:tcBorders>
              <w:top w:val="single" w:color="auto" w:sz="4" w:space="0"/>
              <w:bottom w:val="single" w:color="auto" w:sz="4" w:space="0"/>
              <w:right w:val="single" w:color="auto" w:sz="4" w:space="0"/>
            </w:tcBorders>
            <w:noWrap w:val="0"/>
            <w:vAlign w:val="center"/>
          </w:tcPr>
          <w:p w14:paraId="29A5F06B">
            <w:pPr>
              <w:widowControl/>
              <w:spacing w:line="280" w:lineRule="exact"/>
              <w:jc w:val="center"/>
              <w:textAlignment w:val="center"/>
              <w:rPr>
                <w:rFonts w:hint="eastAsia" w:ascii="仿宋_GB2312" w:hAnsi="仿宋_GB2312" w:cs="仿宋_GB2312"/>
                <w:b/>
                <w:bCs/>
                <w:kern w:val="0"/>
                <w:sz w:val="28"/>
                <w:szCs w:val="28"/>
              </w:rPr>
            </w:pPr>
            <w:r>
              <w:rPr>
                <w:rFonts w:hint="eastAsia" w:ascii="Times New Roman" w:hAnsi="Times New Roman" w:eastAsia="仿宋_GB2312" w:cs="Times New Roman"/>
                <w:b/>
                <w:bCs/>
                <w:kern w:val="2"/>
                <w:sz w:val="22"/>
                <w:szCs w:val="22"/>
                <w:highlight w:val="none"/>
                <w:lang w:val="en-US" w:eastAsia="zh-CN" w:bidi="ar-SA"/>
              </w:rPr>
              <w:t>合   计</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193337D4">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14.7270</w:t>
            </w:r>
          </w:p>
        </w:tc>
        <w:tc>
          <w:tcPr>
            <w:tcW w:w="16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9A8D5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4983FF9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r>
              <w:rPr>
                <w:rFonts w:hint="default" w:ascii="Times New Roman" w:hAnsi="Times New Roman" w:eastAsia="宋体" w:cs="Times New Roman"/>
                <w:b/>
                <w:bCs/>
                <w:i w:val="0"/>
                <w:iCs w:val="0"/>
                <w:color w:val="000000"/>
                <w:kern w:val="0"/>
                <w:sz w:val="22"/>
                <w:szCs w:val="22"/>
                <w:highlight w:val="none"/>
                <w:u w:val="none"/>
                <w:lang w:val="en-US" w:eastAsia="zh-CN" w:bidi="ar"/>
              </w:rPr>
              <w:t>36.3</w:t>
            </w:r>
            <w:r>
              <w:rPr>
                <w:rFonts w:hint="eastAsia" w:ascii="Times New Roman" w:hAnsi="Times New Roman" w:eastAsia="宋体" w:cs="Times New Roman"/>
                <w:b/>
                <w:bCs/>
                <w:i w:val="0"/>
                <w:iCs w:val="0"/>
                <w:color w:val="000000"/>
                <w:kern w:val="0"/>
                <w:sz w:val="22"/>
                <w:szCs w:val="22"/>
                <w:highlight w:val="none"/>
                <w:u w:val="none"/>
                <w:lang w:val="en-US" w:eastAsia="zh-CN" w:bidi="ar"/>
              </w:rPr>
              <w:t>9</w:t>
            </w:r>
          </w:p>
        </w:tc>
      </w:tr>
    </w:tbl>
    <w:p w14:paraId="367E748C">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说明：</w:t>
      </w:r>
    </w:p>
    <w:p w14:paraId="15061FC6">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1、征地社保费计提标准</w:t>
      </w:r>
      <w:r>
        <w:rPr>
          <w:rFonts w:hint="eastAsia" w:ascii="Times New Roman" w:hAnsi="Times New Roman" w:eastAsia="仿宋_GB2312" w:cs="Times New Roman"/>
          <w:sz w:val="28"/>
          <w:szCs w:val="28"/>
          <w:lang w:val="en-US" w:eastAsia="zh-CN"/>
        </w:rPr>
        <w:t>2.47</w:t>
      </w:r>
      <w:r>
        <w:rPr>
          <w:rFonts w:hint="eastAsia" w:ascii="Times New Roman" w:hAnsi="Times New Roman" w:eastAsia="仿宋_GB2312" w:cs="Times New Roman"/>
          <w:sz w:val="28"/>
          <w:szCs w:val="28"/>
        </w:rPr>
        <w:t>万元/亩，征地社保费计算结果向上取整，精确到百元。</w:t>
      </w:r>
    </w:p>
    <w:p w14:paraId="3660A22F">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2、被征收土地属于农村集体经济组织留用地的，不计提征地社保费。</w:t>
      </w:r>
    </w:p>
    <w:p w14:paraId="2244DA7F">
      <w:pPr>
        <w:rPr>
          <w:rFonts w:hint="default" w:ascii="Times New Roman" w:hAnsi="Times New Roman" w:eastAsia="΢ȭхڢ; line-height:23px;" w:cs="Times New Roman"/>
          <w:sz w:val="32"/>
          <w:szCs w:val="32"/>
          <w:highlight w:val="none"/>
        </w:rPr>
      </w:pPr>
    </w:p>
    <w:p w14:paraId="1FBF82AB">
      <w:pPr>
        <w:rPr>
          <w:rFonts w:hint="default" w:ascii="Times New Roman" w:hAnsi="Times New Roman" w:eastAsia="΢ȭхڢ; line-height:23px;" w:cs="Times New Roman"/>
          <w:sz w:val="32"/>
          <w:szCs w:val="32"/>
          <w:highlight w:val="none"/>
        </w:rPr>
      </w:pPr>
    </w:p>
    <w:p w14:paraId="040733B0">
      <w:pPr>
        <w:keepNext w:val="0"/>
        <w:keepLines w:val="0"/>
        <w:pageBreakBefore w:val="0"/>
        <w:widowControl w:val="0"/>
        <w:kinsoku/>
        <w:wordWrap/>
        <w:overflowPunct/>
        <w:topLinePunct w:val="0"/>
        <w:autoSpaceDE/>
        <w:autoSpaceDN/>
        <w:bidi w:val="0"/>
        <w:adjustRightInd/>
        <w:snapToGrid/>
        <w:ind w:left="3150" w:leftChars="1500"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广州市黄埔区人力资源和社会保障局</w:t>
      </w:r>
    </w:p>
    <w:p w14:paraId="4406771E">
      <w:pPr>
        <w:keepNext w:val="0"/>
        <w:keepLines w:val="0"/>
        <w:pageBreakBefore w:val="0"/>
        <w:widowControl w:val="0"/>
        <w:kinsoku/>
        <w:wordWrap/>
        <w:overflowPunct/>
        <w:topLinePunct w:val="0"/>
        <w:autoSpaceDE/>
        <w:autoSpaceDN/>
        <w:bidi w:val="0"/>
        <w:adjustRightInd/>
        <w:snapToGrid/>
        <w:ind w:left="3150" w:leftChars="1500" w:firstLine="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A0MDE0MGFiNDljZTg3OTg2NWM1MDIzM2E2N2QifQ=="/>
  </w:docVars>
  <w:rsids>
    <w:rsidRoot w:val="0B4B15E0"/>
    <w:rsid w:val="00C4504B"/>
    <w:rsid w:val="04DD6E98"/>
    <w:rsid w:val="077346EA"/>
    <w:rsid w:val="0AC41770"/>
    <w:rsid w:val="0B4B15E0"/>
    <w:rsid w:val="124070FE"/>
    <w:rsid w:val="12ED5A93"/>
    <w:rsid w:val="1509109F"/>
    <w:rsid w:val="15E30DAF"/>
    <w:rsid w:val="17DF06DD"/>
    <w:rsid w:val="181D1914"/>
    <w:rsid w:val="18B062E9"/>
    <w:rsid w:val="1AB14E0D"/>
    <w:rsid w:val="1F163820"/>
    <w:rsid w:val="20F94B52"/>
    <w:rsid w:val="227C08C4"/>
    <w:rsid w:val="24B628A3"/>
    <w:rsid w:val="24C32C4D"/>
    <w:rsid w:val="26DD442F"/>
    <w:rsid w:val="2721598A"/>
    <w:rsid w:val="298648CE"/>
    <w:rsid w:val="2BEE5883"/>
    <w:rsid w:val="2FE431A1"/>
    <w:rsid w:val="309365D1"/>
    <w:rsid w:val="32634CBB"/>
    <w:rsid w:val="346027EC"/>
    <w:rsid w:val="3B055B59"/>
    <w:rsid w:val="3E134DA3"/>
    <w:rsid w:val="41370DAC"/>
    <w:rsid w:val="470D3DEB"/>
    <w:rsid w:val="4DD01078"/>
    <w:rsid w:val="4F7207DC"/>
    <w:rsid w:val="53B872F6"/>
    <w:rsid w:val="55171365"/>
    <w:rsid w:val="567E3A79"/>
    <w:rsid w:val="5AEB3DCF"/>
    <w:rsid w:val="5CC4529F"/>
    <w:rsid w:val="5D257D01"/>
    <w:rsid w:val="61F45A23"/>
    <w:rsid w:val="63230DB1"/>
    <w:rsid w:val="639B24D9"/>
    <w:rsid w:val="67BC7440"/>
    <w:rsid w:val="6F073BDA"/>
    <w:rsid w:val="711836F3"/>
    <w:rsid w:val="741661E7"/>
    <w:rsid w:val="7449217B"/>
    <w:rsid w:val="75332648"/>
    <w:rsid w:val="772A784D"/>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1261</Words>
  <Characters>1396</Characters>
  <Lines>0</Lines>
  <Paragraphs>0</Paragraphs>
  <TotalTime>2</TotalTime>
  <ScaleCrop>false</ScaleCrop>
  <LinksUpToDate>false</LinksUpToDate>
  <CharactersWithSpaces>1407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2025-04-15T09:48:25Z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E3871CC0A26D4F43ADF65FE0B46EDFB7</vt:lpwstr>
  </property>
  <property fmtid="{D5CDD505-2E9C-101B-9397-08002B2CF9AE}" pid="4" name="KSOTemplateDocerSaveRecord">
    <vt:lpwstr>eyJoZGlkIjoiNGU5NDc5MjJjMmYxYTg0ZDc1OWNiNDVhMDQxZTE5YmYiLCJ1c2VySWQiOiIyMzU4NTI2NzkifQ==</vt:lpwstr>
  </property>
</Properties>
</file>