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733EA">
      <w:pPr>
        <w:spacing w:after="0" w:line="240" w:lineRule="auto"/>
        <w:jc w:val="center"/>
        <w:rPr>
          <w:rFonts w:hint="eastAsia" w:ascii="Times New Roman" w:hAnsi="Times New Roman" w:eastAsia="方正小标宋简体" w:cs="Times New Roman"/>
          <w:kern w:val="2"/>
          <w:sz w:val="44"/>
          <w:szCs w:val="44"/>
          <w:lang w:val="en-US" w:eastAsia="zh-CN"/>
        </w:rPr>
      </w:pPr>
    </w:p>
    <w:p w14:paraId="26589A3A">
      <w:pPr>
        <w:pStyle w:val="2"/>
        <w:spacing w:line="240" w:lineRule="auto"/>
        <w:rPr>
          <w:rFonts w:hint="eastAsia"/>
          <w:sz w:val="44"/>
          <w:szCs w:val="44"/>
          <w:lang w:val="en-US" w:eastAsia="zh-CN"/>
        </w:rPr>
      </w:pPr>
    </w:p>
    <w:p w14:paraId="235B00FF">
      <w:pPr>
        <w:pStyle w:val="2"/>
        <w:spacing w:line="240" w:lineRule="auto"/>
        <w:rPr>
          <w:rFonts w:hint="eastAsia"/>
          <w:sz w:val="44"/>
          <w:szCs w:val="44"/>
          <w:lang w:val="en-US" w:eastAsia="zh-CN"/>
        </w:rPr>
      </w:pPr>
    </w:p>
    <w:p w14:paraId="75658CFA">
      <w:pPr>
        <w:spacing w:after="0" w:line="560" w:lineRule="exact"/>
        <w:jc w:val="center"/>
        <w:rPr>
          <w:rFonts w:hint="eastAsia" w:ascii="Times New Roman" w:hAnsi="Times New Roman" w:eastAsia="方正小标宋简体" w:cs="Times New Roman"/>
          <w:kern w:val="2"/>
          <w:sz w:val="44"/>
          <w:szCs w:val="44"/>
          <w:lang w:val="en-US" w:eastAsia="zh-CN"/>
        </w:rPr>
      </w:pPr>
      <w:r>
        <w:rPr>
          <w:rFonts w:hint="eastAsia" w:ascii="Times New Roman" w:hAnsi="Times New Roman" w:eastAsia="方正小标宋简体" w:cs="Times New Roman"/>
          <w:kern w:val="2"/>
          <w:sz w:val="44"/>
          <w:szCs w:val="44"/>
          <w:lang w:val="en-US" w:eastAsia="zh-CN"/>
        </w:rPr>
        <w:t>关于广州市花都区2025年</w:t>
      </w:r>
      <w:bookmarkStart w:id="3" w:name="_GoBack"/>
      <w:bookmarkEnd w:id="3"/>
      <w:r>
        <w:rPr>
          <w:rFonts w:hint="eastAsia" w:ascii="Times New Roman" w:hAnsi="Times New Roman" w:eastAsia="方正小标宋简体" w:cs="Times New Roman"/>
          <w:kern w:val="2"/>
          <w:sz w:val="44"/>
          <w:szCs w:val="44"/>
          <w:lang w:val="en-US" w:eastAsia="zh-CN"/>
        </w:rPr>
        <w:t>度第五批次城镇</w:t>
      </w:r>
    </w:p>
    <w:p w14:paraId="56977368">
      <w:pPr>
        <w:spacing w:after="0" w:line="560" w:lineRule="exact"/>
        <w:jc w:val="center"/>
        <w:rPr>
          <w:rFonts w:hint="eastAsia" w:ascii="Times New Roman" w:hAnsi="Times New Roman" w:eastAsia="方正小标宋简体" w:cs="Times New Roman"/>
          <w:kern w:val="2"/>
          <w:sz w:val="44"/>
          <w:szCs w:val="44"/>
          <w:lang w:val="en-US" w:eastAsia="zh-CN"/>
        </w:rPr>
      </w:pPr>
      <w:r>
        <w:rPr>
          <w:rFonts w:hint="eastAsia" w:ascii="Times New Roman" w:hAnsi="Times New Roman" w:eastAsia="方正小标宋简体" w:cs="Times New Roman"/>
          <w:kern w:val="2"/>
          <w:sz w:val="44"/>
          <w:szCs w:val="44"/>
          <w:lang w:val="en-US" w:eastAsia="zh-CN"/>
        </w:rPr>
        <w:t>建设用地（广州市流溪河未贯通堤段整治</w:t>
      </w:r>
    </w:p>
    <w:p w14:paraId="4439C501">
      <w:pPr>
        <w:spacing w:after="0" w:line="560" w:lineRule="exact"/>
        <w:jc w:val="center"/>
        <w:rPr>
          <w:rFonts w:hint="eastAsia" w:ascii="Times New Roman" w:hAnsi="Times New Roman" w:eastAsia="方正小标宋简体" w:cs="Times New Roman"/>
          <w:kern w:val="2"/>
          <w:sz w:val="44"/>
          <w:szCs w:val="44"/>
          <w:lang w:val="en-US" w:eastAsia="zh-CN"/>
        </w:rPr>
      </w:pPr>
      <w:r>
        <w:rPr>
          <w:rFonts w:hint="eastAsia" w:ascii="Times New Roman" w:hAnsi="Times New Roman" w:eastAsia="方正小标宋简体" w:cs="Times New Roman"/>
          <w:kern w:val="2"/>
          <w:sz w:val="44"/>
          <w:szCs w:val="44"/>
          <w:lang w:val="en-US" w:eastAsia="zh-CN"/>
        </w:rPr>
        <w:t>工程（老山河口下游右岸段））</w:t>
      </w:r>
    </w:p>
    <w:p w14:paraId="6D195ED8">
      <w:pPr>
        <w:spacing w:after="0" w:line="560" w:lineRule="exact"/>
        <w:jc w:val="center"/>
        <w:rPr>
          <w:rFonts w:hint="eastAsia" w:ascii="Times New Roman" w:hAnsi="Times New Roman" w:eastAsia="方正小标宋简体" w:cs="Times New Roman"/>
          <w:kern w:val="2"/>
          <w:sz w:val="44"/>
          <w:szCs w:val="44"/>
          <w:lang w:eastAsia="zh-CN"/>
        </w:rPr>
      </w:pPr>
      <w:r>
        <w:rPr>
          <w:rFonts w:hint="eastAsia" w:ascii="Times New Roman" w:hAnsi="Times New Roman" w:eastAsia="方正小标宋简体" w:cs="Times New Roman"/>
          <w:kern w:val="2"/>
          <w:sz w:val="44"/>
          <w:szCs w:val="44"/>
          <w:lang w:eastAsia="zh-CN"/>
        </w:rPr>
        <w:t>的征地补偿安置方案</w:t>
      </w:r>
    </w:p>
    <w:p w14:paraId="7C3257E6">
      <w:pPr>
        <w:spacing w:before="7" w:line="240" w:lineRule="auto"/>
        <w:rPr>
          <w:rFonts w:ascii="Adobe 黑体 Std R" w:hAnsi="Adobe 黑体 Std R" w:eastAsia="Adobe 黑体 Std R" w:cs="Adobe 黑体 Std R"/>
          <w:sz w:val="34"/>
          <w:szCs w:val="34"/>
        </w:rPr>
      </w:pPr>
    </w:p>
    <w:p w14:paraId="3B1C25C0">
      <w:pPr>
        <w:pStyle w:val="6"/>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pacing w:val="-20"/>
          <w:sz w:val="32"/>
          <w:szCs w:val="32"/>
          <w:lang w:eastAsia="zh-CN"/>
        </w:rPr>
        <w:t>花都</w:t>
      </w:r>
      <w:r>
        <w:rPr>
          <w:rFonts w:hint="eastAsia" w:ascii="仿宋_GB2312" w:hAnsi="仿宋_GB2312" w:eastAsia="仿宋_GB2312" w:cs="仿宋_GB2312"/>
          <w:sz w:val="32"/>
          <w:szCs w:val="32"/>
        </w:rPr>
        <w:t>区</w:t>
      </w:r>
      <w:bookmarkStart w:id="0" w:name="OLE_LINK1"/>
      <w:r>
        <w:rPr>
          <w:rFonts w:hint="eastAsia" w:ascii="仿宋_GB2312" w:hAnsi="仿宋_GB2312" w:eastAsia="仿宋_GB2312" w:cs="仿宋_GB2312"/>
          <w:spacing w:val="-20"/>
          <w:sz w:val="32"/>
          <w:szCs w:val="32"/>
          <w:lang w:val="en-US" w:eastAsia="zh-CN"/>
        </w:rPr>
        <w:t>花东</w:t>
      </w:r>
      <w:r>
        <w:rPr>
          <w:rFonts w:hint="eastAsia" w:ascii="仿宋_GB2312" w:hAnsi="仿宋_GB2312" w:eastAsia="仿宋_GB2312" w:cs="仿宋_GB2312"/>
          <w:sz w:val="32"/>
          <w:szCs w:val="32"/>
        </w:rPr>
        <w:t>镇</w:t>
      </w:r>
      <w:bookmarkEnd w:id="0"/>
      <w:r>
        <w:rPr>
          <w:rFonts w:hint="eastAsia" w:ascii="仿宋_GB2312" w:hAnsi="仿宋_GB2312" w:eastAsia="仿宋_GB2312" w:cs="仿宋_GB2312"/>
          <w:sz w:val="32"/>
          <w:szCs w:val="32"/>
        </w:rPr>
        <w:t>建设规划，完善城市功</w:t>
      </w:r>
      <w:r>
        <w:rPr>
          <w:rFonts w:hint="eastAsia" w:ascii="仿宋_GB2312" w:hAnsi="仿宋_GB2312" w:eastAsia="仿宋_GB2312" w:cs="仿宋_GB2312"/>
          <w:spacing w:val="6"/>
          <w:sz w:val="32"/>
          <w:szCs w:val="32"/>
        </w:rPr>
        <w:t>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改善城市环境，促进经济、文化发展，广州市</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3"/>
          <w:sz w:val="32"/>
          <w:szCs w:val="32"/>
        </w:rPr>
        <w:t>区人</w:t>
      </w:r>
      <w:r>
        <w:rPr>
          <w:rFonts w:hint="eastAsia" w:ascii="仿宋_GB2312" w:hAnsi="仿宋_GB2312" w:eastAsia="仿宋_GB2312" w:cs="仿宋_GB2312"/>
          <w:spacing w:val="5"/>
          <w:sz w:val="32"/>
          <w:szCs w:val="32"/>
        </w:rPr>
        <w:t>民政府拟征收</w:t>
      </w:r>
      <w:r>
        <w:rPr>
          <w:rFonts w:hint="eastAsia" w:ascii="仿宋_GB2312" w:hAnsi="仿宋_GB2312" w:eastAsia="仿宋_GB2312" w:cs="仿宋_GB2312"/>
          <w:spacing w:val="5"/>
          <w:lang w:eastAsia="zh-CN"/>
        </w:rPr>
        <w:t>花东镇李溪经济联合社</w:t>
      </w:r>
      <w:r>
        <w:rPr>
          <w:rFonts w:hint="eastAsia" w:ascii="仿宋_GB2312" w:hAnsi="仿宋_GB2312" w:eastAsia="仿宋_GB2312" w:cs="仿宋_GB2312"/>
          <w:spacing w:val="5"/>
          <w:sz w:val="32"/>
          <w:szCs w:val="32"/>
          <w:lang w:eastAsia="zh-CN"/>
        </w:rPr>
        <w:t>、石角经济联合社</w:t>
      </w:r>
      <w:r>
        <w:rPr>
          <w:rFonts w:hint="eastAsia" w:ascii="仿宋_GB2312" w:hAnsi="仿宋_GB2312" w:eastAsia="仿宋_GB2312" w:cs="仿宋_GB2312"/>
          <w:spacing w:val="6"/>
          <w:sz w:val="32"/>
          <w:szCs w:val="32"/>
        </w:rPr>
        <w:t>属</w:t>
      </w:r>
      <w:r>
        <w:rPr>
          <w:rFonts w:hint="eastAsia" w:ascii="仿宋_GB2312" w:hAnsi="仿宋_GB2312" w:eastAsia="仿宋_GB2312" w:cs="仿宋_GB2312"/>
          <w:sz w:val="32"/>
          <w:szCs w:val="32"/>
        </w:rPr>
        <w:t>下的集体土地</w:t>
      </w:r>
      <w:r>
        <w:rPr>
          <w:rFonts w:hint="eastAsia" w:ascii="Times New Roman" w:hAnsi="Times New Roman" w:eastAsia="仿宋_GB2312" w:cs="Times New Roman"/>
          <w:sz w:val="32"/>
          <w:szCs w:val="32"/>
          <w:lang w:val="en-US" w:eastAsia="zh-CN"/>
        </w:rPr>
        <w:t>0.1821</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w:t>
      </w:r>
      <w:r>
        <w:rPr>
          <w:rFonts w:hint="eastAsia" w:ascii="仿宋_GB2312" w:hAnsi="仿宋_GB2312" w:eastAsia="仿宋_GB2312" w:cs="仿宋_GB2312"/>
          <w:spacing w:val="6"/>
          <w:sz w:val="32"/>
          <w:szCs w:val="32"/>
        </w:rPr>
        <w:t>土地管理条例》第三十条等规定，结合</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5"/>
          <w:sz w:val="32"/>
          <w:szCs w:val="32"/>
        </w:rPr>
        <w:t>区的征收农用地</w:t>
      </w:r>
      <w:r>
        <w:rPr>
          <w:rFonts w:hint="eastAsia" w:ascii="仿宋_GB2312" w:hAnsi="仿宋_GB2312" w:eastAsia="仿宋_GB2312" w:cs="仿宋_GB2312"/>
          <w:sz w:val="32"/>
          <w:szCs w:val="32"/>
        </w:rPr>
        <w:t>区片综合地价和实际情况，拟定了征地补偿安置方案，具体如下：</w:t>
      </w:r>
    </w:p>
    <w:p w14:paraId="7F43DB8C">
      <w:pPr>
        <w:pStyle w:val="6"/>
        <w:keepNext w:val="0"/>
        <w:keepLines w:val="0"/>
        <w:pageBreakBefore w:val="0"/>
        <w:widowControl w:val="0"/>
        <w:kinsoku/>
        <w:wordWrap/>
        <w:overflowPunct/>
        <w:topLinePunct w:val="0"/>
        <w:autoSpaceDE/>
        <w:autoSpaceDN/>
        <w:bidi w:val="0"/>
        <w:adjustRightInd/>
        <w:snapToGrid/>
        <w:spacing w:before="0" w:line="540" w:lineRule="exact"/>
        <w:ind w:left="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一、征收范围</w:t>
      </w:r>
    </w:p>
    <w:p w14:paraId="6C88A8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拟征收土地位于广州市花都区</w:t>
      </w:r>
      <w:r>
        <w:rPr>
          <w:rFonts w:hint="eastAsia" w:ascii="仿宋_GB2312" w:hAnsi="仿宋_GB2312" w:eastAsia="仿宋_GB2312" w:cs="仿宋_GB2312"/>
          <w:spacing w:val="-20"/>
          <w:sz w:val="32"/>
          <w:szCs w:val="32"/>
          <w:lang w:val="en-US" w:eastAsia="zh-CN"/>
        </w:rPr>
        <w:t>花东镇李溪经济联合社、石角经济联合社</w:t>
      </w:r>
      <w:r>
        <w:rPr>
          <w:rFonts w:hint="default" w:ascii="Times New Roman" w:hAnsi="Times New Roman" w:eastAsia="仿宋_GB2312" w:cs="Times New Roman"/>
          <w:sz w:val="32"/>
          <w:szCs w:val="32"/>
        </w:rPr>
        <w:t>范围内</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实际征收土地范围以最终批准文件为准。</w:t>
      </w:r>
    </w:p>
    <w:p w14:paraId="1D0E046D">
      <w:pPr>
        <w:pStyle w:val="6"/>
        <w:keepNext w:val="0"/>
        <w:keepLines w:val="0"/>
        <w:pageBreakBefore w:val="0"/>
        <w:widowControl w:val="0"/>
        <w:kinsoku/>
        <w:wordWrap/>
        <w:overflowPunct/>
        <w:topLinePunct w:val="0"/>
        <w:autoSpaceDE/>
        <w:autoSpaceDN/>
        <w:bidi w:val="0"/>
        <w:adjustRightInd/>
        <w:snapToGrid/>
        <w:spacing w:before="0" w:line="540" w:lineRule="exact"/>
        <w:ind w:left="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二、征收目的</w:t>
      </w:r>
    </w:p>
    <w:p w14:paraId="4B412E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根据《中华人民共和国土地管理法》第四十五条的规定，本次征收土地目的为由政府组织实施的能源、交通、水利、通信、邮政等基础设施建设需要用地的。</w:t>
      </w:r>
    </w:p>
    <w:p w14:paraId="6A1AC70D">
      <w:pPr>
        <w:pStyle w:val="6"/>
        <w:keepNext w:val="0"/>
        <w:keepLines w:val="0"/>
        <w:pageBreakBefore w:val="0"/>
        <w:widowControl w:val="0"/>
        <w:kinsoku/>
        <w:wordWrap/>
        <w:overflowPunct/>
        <w:topLinePunct w:val="0"/>
        <w:autoSpaceDE/>
        <w:autoSpaceDN/>
        <w:bidi w:val="0"/>
        <w:adjustRightInd/>
        <w:snapToGrid/>
        <w:spacing w:before="0" w:line="540" w:lineRule="exact"/>
        <w:ind w:left="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三、土地现状</w:t>
      </w:r>
    </w:p>
    <w:p w14:paraId="08F87E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356D87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广州市花都区花东镇李溪经济联合社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0.0355</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0.5325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均为</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eastAsia="zh-CN"/>
        </w:rPr>
        <w:t>，不涉及农用地和未利用地</w:t>
      </w:r>
      <w:r>
        <w:rPr>
          <w:rFonts w:hint="eastAsia" w:ascii="Times New Roman" w:hAnsi="Times New Roman" w:eastAsia="仿宋_GB2312" w:cs="Times New Roman"/>
          <w:sz w:val="32"/>
          <w:szCs w:val="32"/>
        </w:rPr>
        <w:t>；</w:t>
      </w:r>
    </w:p>
    <w:p w14:paraId="1F0925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广州市花都区花东镇石角经济联合社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bookmarkStart w:id="1" w:name="OLE_LINK3"/>
      <w:r>
        <w:rPr>
          <w:rFonts w:hint="eastAsia" w:ascii="Times New Roman" w:hAnsi="Times New Roman" w:eastAsia="仿宋_GB2312" w:cs="Times New Roman"/>
          <w:sz w:val="32"/>
          <w:szCs w:val="32"/>
          <w:lang w:val="en-US" w:eastAsia="zh-CN"/>
        </w:rPr>
        <w:t>0.1466</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2.1990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bookmarkEnd w:id="1"/>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lang w:val="en-US" w:eastAsia="zh-CN"/>
        </w:rPr>
        <w:t>0.0038</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0.0570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不</w:t>
      </w:r>
      <w:r>
        <w:rPr>
          <w:rFonts w:hint="eastAsia" w:ascii="Times New Roman" w:hAnsi="Times New Roman" w:eastAsia="仿宋_GB2312" w:cs="Times New Roman"/>
          <w:sz w:val="32"/>
          <w:szCs w:val="32"/>
          <w:lang w:eastAsia="zh-CN"/>
        </w:rPr>
        <w:t>含耕地；</w:t>
      </w:r>
      <w:r>
        <w:rPr>
          <w:rFonts w:hint="eastAsia" w:ascii="Times New Roman" w:hAnsi="Times New Roman" w:eastAsia="仿宋_GB2312" w:cs="Times New Roman"/>
          <w:sz w:val="32"/>
          <w:szCs w:val="32"/>
        </w:rPr>
        <w:t>建设用地0.1428公顷（2.14</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不涉及未利用地</w:t>
      </w:r>
      <w:bookmarkStart w:id="2" w:name="OLE_LINK4"/>
      <w:r>
        <w:rPr>
          <w:rFonts w:hint="eastAsia" w:ascii="Times New Roman" w:hAnsi="Times New Roman" w:eastAsia="仿宋_GB2312" w:cs="Times New Roman"/>
          <w:sz w:val="32"/>
          <w:szCs w:val="32"/>
          <w:lang w:eastAsia="zh-CN"/>
        </w:rPr>
        <w:t>。</w:t>
      </w:r>
    </w:p>
    <w:bookmarkEnd w:id="2"/>
    <w:p w14:paraId="4768F408">
      <w:pPr>
        <w:pStyle w:val="6"/>
        <w:keepNext w:val="0"/>
        <w:keepLines w:val="0"/>
        <w:pageBreakBefore w:val="0"/>
        <w:widowControl w:val="0"/>
        <w:kinsoku/>
        <w:wordWrap/>
        <w:overflowPunct/>
        <w:topLinePunct w:val="0"/>
        <w:autoSpaceDE/>
        <w:autoSpaceDN/>
        <w:bidi w:val="0"/>
        <w:adjustRightInd/>
        <w:snapToGrid/>
        <w:spacing w:before="0" w:line="540" w:lineRule="exact"/>
        <w:ind w:left="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四、补偿方式和标准</w:t>
      </w:r>
    </w:p>
    <w:p w14:paraId="3DCB5E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66A56D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eastAsia"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（粤自然资函〔202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103号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的规定，</w:t>
      </w:r>
      <w:r>
        <w:rPr>
          <w:rFonts w:hint="eastAsia" w:ascii="Times New Roman" w:hAnsi="Times New Roman" w:eastAsia="仿宋_GB2312" w:cs="Times New Roman"/>
          <w:sz w:val="32"/>
          <w:szCs w:val="32"/>
          <w:highlight w:val="none"/>
          <w:lang w:eastAsia="zh-CN"/>
        </w:rPr>
        <w:t>土地补偿标准为</w:t>
      </w:r>
      <w:r>
        <w:rPr>
          <w:rFonts w:hint="eastAsia" w:ascii="Times New Roman" w:hAnsi="Times New Roman" w:eastAsia="仿宋_GB2312" w:cs="Times New Roman"/>
          <w:sz w:val="32"/>
          <w:szCs w:val="32"/>
          <w:highlight w:val="none"/>
          <w:lang w:val="en-US" w:eastAsia="zh-CN"/>
        </w:rPr>
        <w:t>97.5万元/公顷，安置补助标准为97.5万元/公顷。</w:t>
      </w:r>
    </w:p>
    <w:p w14:paraId="0CE8AA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5B1D6F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262C1DC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14:paraId="3EA157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青苗及其他地上附着物补偿参照《广州市花都区人民政府办公室印发花都区片区征地包干补偿工作方案的通知》（花府办〔2016〕12号）的规定执行。</w:t>
      </w:r>
    </w:p>
    <w:p w14:paraId="4A121E7C">
      <w:pPr>
        <w:pStyle w:val="6"/>
        <w:keepNext w:val="0"/>
        <w:keepLines w:val="0"/>
        <w:pageBreakBefore w:val="0"/>
        <w:widowControl w:val="0"/>
        <w:kinsoku/>
        <w:wordWrap/>
        <w:overflowPunct/>
        <w:topLinePunct w:val="0"/>
        <w:autoSpaceDE/>
        <w:autoSpaceDN/>
        <w:bidi w:val="0"/>
        <w:adjustRightInd/>
        <w:snapToGrid/>
        <w:spacing w:before="0" w:line="540" w:lineRule="exact"/>
        <w:ind w:left="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五、安置对象</w:t>
      </w:r>
    </w:p>
    <w:p w14:paraId="29ED54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6F2C6CF7">
      <w:pPr>
        <w:pStyle w:val="6"/>
        <w:keepNext w:val="0"/>
        <w:keepLines w:val="0"/>
        <w:pageBreakBefore w:val="0"/>
        <w:widowControl w:val="0"/>
        <w:kinsoku/>
        <w:wordWrap/>
        <w:overflowPunct/>
        <w:topLinePunct w:val="0"/>
        <w:autoSpaceDE/>
        <w:autoSpaceDN/>
        <w:bidi w:val="0"/>
        <w:adjustRightInd/>
        <w:snapToGrid/>
        <w:spacing w:before="0" w:line="540" w:lineRule="exact"/>
        <w:ind w:left="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六、安置方式和社会保障</w:t>
      </w:r>
    </w:p>
    <w:p w14:paraId="068CE3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14:paraId="3F3F0C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（二）留用地安置。根据《广东省</w:t>
      </w:r>
      <w:r>
        <w:rPr>
          <w:rFonts w:hint="eastAsia" w:ascii="Times New Roman" w:hAnsi="Times New Roman" w:eastAsia="仿宋_GB2312" w:cs="Times New Roman"/>
          <w:sz w:val="32"/>
          <w:szCs w:val="32"/>
          <w:lang w:eastAsia="zh-CN"/>
        </w:rPr>
        <w:t>人民政府办公厅关于加强</w:t>
      </w:r>
      <w:r>
        <w:rPr>
          <w:rFonts w:hint="default" w:ascii="Times New Roman" w:hAnsi="Times New Roman" w:eastAsia="仿宋_GB2312" w:cs="Times New Roman"/>
          <w:sz w:val="32"/>
          <w:szCs w:val="32"/>
        </w:rPr>
        <w:t>征收农村集体土地留用地</w:t>
      </w:r>
      <w:r>
        <w:rPr>
          <w:rFonts w:hint="eastAsia" w:ascii="Times New Roman" w:hAnsi="Times New Roman" w:eastAsia="仿宋_GB2312" w:cs="Times New Roman"/>
          <w:sz w:val="32"/>
          <w:szCs w:val="32"/>
          <w:lang w:eastAsia="zh-CN"/>
        </w:rPr>
        <w:t>安置工作的意见</w:t>
      </w:r>
      <w:r>
        <w:rPr>
          <w:rFonts w:hint="default" w:ascii="Times New Roman" w:hAnsi="Times New Roman" w:eastAsia="仿宋_GB2312" w:cs="Times New Roman"/>
          <w:sz w:val="32"/>
          <w:szCs w:val="32"/>
        </w:rPr>
        <w:t>》（粤府办〔</w:t>
      </w:r>
      <w:r>
        <w:rPr>
          <w:rFonts w:hint="eastAsia" w:ascii="Times New Roman" w:hAnsi="Times New Roman" w:eastAsia="仿宋_GB2312" w:cs="Times New Roman"/>
          <w:sz w:val="32"/>
          <w:szCs w:val="32"/>
          <w:lang w:val="en-US" w:eastAsia="zh-CN"/>
        </w:rPr>
        <w:t>2016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号）相关规定，按实际征收土地面积的10%</w:t>
      </w:r>
      <w:r>
        <w:rPr>
          <w:rFonts w:hint="eastAsia" w:ascii="Times New Roman" w:hAnsi="Times New Roman" w:eastAsia="仿宋_GB2312" w:cs="Times New Roman"/>
          <w:sz w:val="32"/>
          <w:szCs w:val="32"/>
          <w:lang w:eastAsia="zh-CN"/>
        </w:rPr>
        <w:t>安排留用地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留用地兑现方式为货币补偿</w:t>
      </w:r>
      <w:r>
        <w:rPr>
          <w:rFonts w:hint="default" w:ascii="Times New Roman" w:hAnsi="Times New Roman" w:eastAsia="仿宋_GB2312" w:cs="Times New Roman"/>
          <w:sz w:val="32"/>
          <w:szCs w:val="32"/>
        </w:rPr>
        <w:t>。</w:t>
      </w:r>
    </w:p>
    <w:p w14:paraId="3810B4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（三）社会保障。</w:t>
      </w:r>
      <w:r>
        <w:rPr>
          <w:rFonts w:hint="eastAsia" w:ascii="Times New Roman" w:hAnsi="Times New Roman" w:eastAsia="仿宋_GB2312" w:cs="Times New Roman"/>
          <w:sz w:val="32"/>
          <w:szCs w:val="32"/>
        </w:rPr>
        <w:t>该项目征收</w:t>
      </w:r>
      <w:r>
        <w:rPr>
          <w:rFonts w:hint="eastAsia" w:ascii="Times New Roman" w:hAnsi="Times New Roman" w:eastAsia="仿宋_GB2312" w:cs="Times New Roman"/>
          <w:sz w:val="32"/>
          <w:szCs w:val="32"/>
          <w:lang w:val="en-US" w:eastAsia="zh-CN"/>
        </w:rPr>
        <w:t>花东</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val="en-US" w:eastAsia="zh-CN"/>
        </w:rPr>
        <w:t>李溪村、石角村</w:t>
      </w:r>
      <w:r>
        <w:rPr>
          <w:rFonts w:hint="eastAsia" w:ascii="Times New Roman" w:hAnsi="Times New Roman" w:eastAsia="仿宋_GB2312" w:cs="Times New Roman"/>
          <w:sz w:val="32"/>
          <w:szCs w:val="32"/>
        </w:rPr>
        <w:t>面积共</w:t>
      </w:r>
      <w:r>
        <w:rPr>
          <w:rFonts w:hint="eastAsia" w:ascii="Times New Roman" w:hAnsi="Times New Roman" w:eastAsia="仿宋_GB2312" w:cs="Times New Roman"/>
          <w:sz w:val="32"/>
          <w:szCs w:val="32"/>
          <w:lang w:val="en-US" w:eastAsia="zh-CN"/>
        </w:rPr>
        <w:t>2.7315</w:t>
      </w:r>
      <w:r>
        <w:rPr>
          <w:rFonts w:hint="eastAsia" w:ascii="Times New Roman" w:hAnsi="Times New Roman" w:eastAsia="仿宋_GB2312" w:cs="Times New Roman"/>
          <w:sz w:val="32"/>
          <w:szCs w:val="32"/>
        </w:rPr>
        <w:t>亩，</w:t>
      </w:r>
      <w:r>
        <w:rPr>
          <w:rFonts w:hint="eastAsia" w:ascii="Times New Roman" w:hAnsi="Times New Roman" w:eastAsia="仿宋_GB2312" w:cs="Times New Roman"/>
          <w:sz w:val="32"/>
          <w:szCs w:val="32"/>
          <w:lang w:val="en-US" w:eastAsia="zh-CN"/>
        </w:rPr>
        <w:t>根据《广东省人民政府办公厅转发省人力资源社会保障厅关于进一步完善我省被征地农民养老保障政策意见的通知》（粤府办〔2021〕22号）规定，核定该项目按2.14万元/亩的标准一次性计提征地社保费共</w:t>
      </w:r>
      <w:r>
        <w:rPr>
          <w:rFonts w:hint="eastAsia" w:ascii="Times New Roman" w:hAnsi="Times New Roman" w:eastAsia="仿宋_GB2312" w:cs="Times New Roman"/>
          <w:sz w:val="32"/>
          <w:szCs w:val="32"/>
          <w:highlight w:val="none"/>
          <w:lang w:val="en-US" w:eastAsia="zh-CN"/>
        </w:rPr>
        <w:t>5.85</w:t>
      </w:r>
      <w:r>
        <w:rPr>
          <w:rFonts w:hint="eastAsia" w:ascii="Times New Roman" w:hAnsi="Times New Roman" w:eastAsia="仿宋_GB2312" w:cs="Times New Roman"/>
          <w:sz w:val="32"/>
          <w:szCs w:val="32"/>
          <w:lang w:val="en-US" w:eastAsia="zh-CN"/>
        </w:rPr>
        <w:t>万元，预存入区“收缴被征地农民养老保障资金过渡户”，专款用于被征地农民养老保障。</w:t>
      </w:r>
    </w:p>
    <w:p w14:paraId="690CDB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p>
    <w:p w14:paraId="19BE1E67">
      <w:pPr>
        <w:pStyle w:val="6"/>
        <w:spacing w:before="0" w:line="437" w:lineRule="exact"/>
        <w:ind w:left="0" w:right="260"/>
        <w:jc w:val="right"/>
        <w:rPr>
          <w:rFonts w:hint="eastAsia" w:ascii="仿宋_GB2312" w:hAnsi="仿宋_GB2312" w:eastAsia="仿宋_GB2312" w:cs="仿宋_GB2312"/>
          <w:sz w:val="32"/>
          <w:szCs w:val="32"/>
        </w:rPr>
      </w:pPr>
    </w:p>
    <w:p w14:paraId="03BB7ABF">
      <w:pPr>
        <w:pStyle w:val="6"/>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7592449E">
      <w:pPr>
        <w:pStyle w:val="6"/>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24</w:t>
      </w:r>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E3D6D">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74C6F60">
                          <w:pPr>
                            <w:spacing w:before="0" w:line="203" w:lineRule="exact"/>
                            <w:ind w:left="40" w:right="0" w:firstLine="0"/>
                            <w:jc w:val="left"/>
                            <w:rPr>
                              <w:rFonts w:ascii="Calibri" w:hAnsi="Calibri" w:eastAsia="Calibri" w:cs="Calibri"/>
                              <w:sz w:val="18"/>
                              <w:szCs w:val="18"/>
                            </w:rPr>
                          </w:pPr>
                        </w:p>
                      </w:txbxContent>
                    </wps:txbx>
                    <wps:bodyPr lIns="0" tIns="0" rIns="0" bIns="0" upright="1"/>
                  </wps:wsp>
                </a:graphicData>
              </a:graphic>
            </wp:anchor>
          </w:drawing>
        </mc:Choice>
        <mc:Fallback>
          <w:pict>
            <v:shape id="文本框 1025"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jVc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14:paraId="174C6F60">
                    <w:pPr>
                      <w:spacing w:before="0" w:line="203" w:lineRule="exact"/>
                      <w:ind w:left="40" w:right="0" w:firstLine="0"/>
                      <w:jc w:val="left"/>
                      <w:rPr>
                        <w:rFonts w:ascii="Calibri" w:hAnsi="Calibri" w:eastAsia="Calibri" w:cs="Calibri"/>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F6023"/>
    <w:rsid w:val="022A33E1"/>
    <w:rsid w:val="04654DC4"/>
    <w:rsid w:val="063E7708"/>
    <w:rsid w:val="0822151D"/>
    <w:rsid w:val="08682950"/>
    <w:rsid w:val="08D87341"/>
    <w:rsid w:val="0BC12118"/>
    <w:rsid w:val="0C890300"/>
    <w:rsid w:val="0D5A4B28"/>
    <w:rsid w:val="0D630F89"/>
    <w:rsid w:val="11CB319E"/>
    <w:rsid w:val="11EB43FE"/>
    <w:rsid w:val="161B7A15"/>
    <w:rsid w:val="162B00EE"/>
    <w:rsid w:val="16E50DE0"/>
    <w:rsid w:val="172D522C"/>
    <w:rsid w:val="19977D8A"/>
    <w:rsid w:val="1BD27115"/>
    <w:rsid w:val="1E084CBE"/>
    <w:rsid w:val="219A692A"/>
    <w:rsid w:val="219E39B8"/>
    <w:rsid w:val="25477C36"/>
    <w:rsid w:val="29C73F17"/>
    <w:rsid w:val="2ACE29AB"/>
    <w:rsid w:val="2BE439BC"/>
    <w:rsid w:val="2BE5257F"/>
    <w:rsid w:val="2F2F33BB"/>
    <w:rsid w:val="33085EB0"/>
    <w:rsid w:val="34394804"/>
    <w:rsid w:val="34CC172C"/>
    <w:rsid w:val="35484DA3"/>
    <w:rsid w:val="375E6D8B"/>
    <w:rsid w:val="38627540"/>
    <w:rsid w:val="39A42B0C"/>
    <w:rsid w:val="3B8E0546"/>
    <w:rsid w:val="3D4536F5"/>
    <w:rsid w:val="46753A21"/>
    <w:rsid w:val="4795353B"/>
    <w:rsid w:val="47EA5951"/>
    <w:rsid w:val="48522FF2"/>
    <w:rsid w:val="4B4628C7"/>
    <w:rsid w:val="4BC5065C"/>
    <w:rsid w:val="4FDC68BF"/>
    <w:rsid w:val="505F6CEB"/>
    <w:rsid w:val="520B4A39"/>
    <w:rsid w:val="54382FF3"/>
    <w:rsid w:val="54E02594"/>
    <w:rsid w:val="5AF63665"/>
    <w:rsid w:val="5EF369C2"/>
    <w:rsid w:val="5F323E55"/>
    <w:rsid w:val="5F7D66C9"/>
    <w:rsid w:val="60ED7905"/>
    <w:rsid w:val="63714235"/>
    <w:rsid w:val="638F62B4"/>
    <w:rsid w:val="6488303F"/>
    <w:rsid w:val="64ED2421"/>
    <w:rsid w:val="658F035B"/>
    <w:rsid w:val="671A7149"/>
    <w:rsid w:val="6DB30687"/>
    <w:rsid w:val="6EE6644C"/>
    <w:rsid w:val="6F224556"/>
    <w:rsid w:val="6F8C3791"/>
    <w:rsid w:val="708E5910"/>
    <w:rsid w:val="72B12254"/>
    <w:rsid w:val="747B57C1"/>
    <w:rsid w:val="75B44CF4"/>
    <w:rsid w:val="768B3F84"/>
    <w:rsid w:val="76910A96"/>
    <w:rsid w:val="78EA6370"/>
    <w:rsid w:val="7C154186"/>
    <w:rsid w:val="7D5135A2"/>
    <w:rsid w:val="7D7B1DE2"/>
    <w:rsid w:val="7E1D286D"/>
    <w:rsid w:val="7F325F7A"/>
    <w:rsid w:val="7FAD56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5">
    <w:name w:val="annotation text"/>
    <w:basedOn w:val="1"/>
    <w:qFormat/>
    <w:uiPriority w:val="0"/>
    <w:pPr>
      <w:jc w:val="left"/>
    </w:pPr>
  </w:style>
  <w:style w:type="paragraph" w:styleId="6">
    <w:name w:val="Body Text"/>
    <w:basedOn w:val="1"/>
    <w:qFormat/>
    <w:uiPriority w:val="1"/>
    <w:pPr>
      <w:spacing w:before="35"/>
      <w:ind w:left="760"/>
    </w:pPr>
    <w:rPr>
      <w:rFonts w:ascii="Adobe 黑体 Std R" w:hAnsi="Adobe 黑体 Std R" w:eastAsia="Adobe 黑体 Std R"/>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2191</Words>
  <Characters>2473</Characters>
  <TotalTime>22</TotalTime>
  <ScaleCrop>false</ScaleCrop>
  <LinksUpToDate>false</LinksUpToDate>
  <CharactersWithSpaces>2525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2025-04-29T07:08:38Z</cp:lastPrinted>
  <dcterms:modified xsi:type="dcterms:W3CDTF">2025-04-29T07:09:05Z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DB3D53161B9B45B980A4BABDC88EA40F</vt:lpwstr>
  </property>
  <property fmtid="{D5CDD505-2E9C-101B-9397-08002B2CF9AE}" pid="7" name="KSOTemplateDocerSaveRecord">
    <vt:lpwstr>eyJoZGlkIjoiZWI1OGY2ZjgzYTI4NTcyNDg3NjQzNmEzMTM4OWU3ZjUiLCJ1c2VySWQiOiIyMzgxNjMzNjYifQ==</vt:lpwstr>
  </property>
</Properties>
</file>