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3EA8F">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广州市花都区2025年度第五批次城镇建设用地（广州市流溪河未贯通堤段整治工程</w:t>
      </w:r>
    </w:p>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〔老山河口下游右岸段〕）</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广州市花都区2025年度第五批次城镇建设用地（广州市流溪河未贯通堤段整治工程〔老山河口下游右岸段〕）</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广州市花都区2025年度第五批次城镇建设用地（广州市流溪河未贯通堤段整治工程〔老山河口下游右岸段〕）</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花东镇李溪村、石角村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土地面积共2.7315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2022年6月全部完成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5.85</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1C9B43DD">
      <w:pPr>
        <w:rPr>
          <w:rFonts w:hint="eastAsia" w:ascii="黑体" w:hAnsi="黑体" w:eastAsia="黑体" w:cs="黑体"/>
        </w:rPr>
      </w:pPr>
    </w:p>
    <w:p w14:paraId="47C8634E">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40"/>
        <w:gridCol w:w="2174"/>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restart"/>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花东镇</w:t>
            </w: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李溪村经济联合社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0.5325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1.14</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40" w:type="dxa"/>
            <w:vMerge w:val="continue"/>
            <w:tcBorders>
              <w:right w:val="single" w:color="auto" w:sz="4" w:space="0"/>
            </w:tcBorders>
            <w:noWrap w:val="0"/>
            <w:vAlign w:val="center"/>
          </w:tcPr>
          <w:p w14:paraId="5E72ADCC">
            <w:pPr>
              <w:jc w:val="center"/>
              <w:rPr>
                <w:rFonts w:hint="eastAsia" w:ascii="仿宋_GB2312" w:hAnsi="仿宋_GB2312" w:eastAsia="仿宋_GB2312" w:cs="仿宋_GB2312"/>
                <w:kern w:val="0"/>
                <w:sz w:val="24"/>
                <w:szCs w:val="24"/>
              </w:rPr>
            </w:pPr>
          </w:p>
        </w:tc>
        <w:tc>
          <w:tcPr>
            <w:tcW w:w="217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石角村经济联合社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2.199</w:t>
            </w:r>
            <w:r>
              <w:rPr>
                <w:rFonts w:hint="eastAsia" w:ascii="仿宋_GB2312" w:hAnsi="仿宋_GB2312" w:cs="仿宋_GB2312"/>
                <w:i w:val="0"/>
                <w:iCs w:val="0"/>
                <w:color w:val="000000"/>
                <w:kern w:val="0"/>
                <w:sz w:val="24"/>
                <w:szCs w:val="24"/>
                <w:u w:val="none"/>
                <w:lang w:val="en-US" w:eastAsia="zh-CN" w:bidi="ar"/>
              </w:rPr>
              <w:t>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4.71</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2.7315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5.85</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8C21B8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82F13D2"/>
    <w:rsid w:val="79560089"/>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2025-04-15T06:37:22Z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86A12F574F6B43E7A78EAE5D6580A725_13</vt:lpwstr>
  </property>
</Properties>
</file>