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eastAsia="宋体" w:cs="Times New Roman"/>
          <w:b/>
          <w:sz w:val="52"/>
        </w:rPr>
      </w:pPr>
    </w:p>
    <w:p>
      <w:pPr>
        <w:jc w:val="center"/>
        <w:rPr>
          <w:rFonts w:hint="eastAsia" w:ascii="宋体" w:hAnsi="宋体" w:eastAsia="宋体" w:cs="宋体"/>
          <w:b/>
          <w:spacing w:val="70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52"/>
          <w:szCs w:val="52"/>
          <w:u w:val="single"/>
          <w:lang w:eastAsia="zh-CN" w:bidi="ar"/>
        </w:rPr>
        <w:t>广东省粤正评估咨询有限公司</w:t>
      </w:r>
      <w:r>
        <w:rPr>
          <w:rFonts w:hint="eastAsia" w:ascii="宋体" w:hAnsi="宋体" w:eastAsia="宋体" w:cs="宋体"/>
          <w:sz w:val="52"/>
          <w:szCs w:val="52"/>
          <w:u w:val="single"/>
          <w:lang w:bidi="ar"/>
        </w:rPr>
        <w:t xml:space="preserve">  </w:t>
      </w:r>
      <w:r>
        <w:rPr>
          <w:rFonts w:hint="eastAsia" w:ascii="宋体" w:hAnsi="宋体" w:eastAsia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  <w:lang w:bidi="ar"/>
        </w:rPr>
        <w:t>主要信息公开表（试行）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  <w:lang w:bidi="ar"/>
        </w:rPr>
        <w:t xml:space="preserve"> </w:t>
      </w:r>
    </w:p>
    <w:p>
      <w:pPr>
        <w:rPr>
          <w:rFonts w:eastAsia="宋体" w:cs="Times New Roman"/>
          <w:b/>
          <w:sz w:val="36"/>
        </w:rPr>
      </w:pPr>
    </w:p>
    <w:p>
      <w:pPr>
        <w:jc w:val="center"/>
        <w:rPr>
          <w:rFonts w:eastAsia="宋体" w:cs="Times New Roman"/>
          <w:b/>
          <w:sz w:val="36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70"/>
          <w:sz w:val="36"/>
          <w:lang w:bidi="ar"/>
        </w:rPr>
      </w:pPr>
    </w:p>
    <w:p>
      <w:pPr>
        <w:jc w:val="center"/>
        <w:rPr>
          <w:rFonts w:eastAsia="宋体" w:cs="Times New Roman"/>
          <w:spacing w:val="70"/>
          <w:sz w:val="28"/>
          <w:szCs w:val="28"/>
        </w:rPr>
      </w:pPr>
    </w:p>
    <w:p>
      <w:pPr>
        <w:jc w:val="center"/>
        <w:rPr>
          <w:rFonts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单位基本情况及所申请资质等级类别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广东省粤正评估咨询有限公司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广州市白云区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云城南二路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167号406房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黄国红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cs="Times New Roman"/>
              </w:rPr>
            </w:pPr>
            <w:r>
              <w:rPr>
                <w:rFonts w:cs="Times New Roman"/>
              </w:rPr>
              <w:t>窗体顶端</w:t>
            </w:r>
          </w:p>
          <w:p>
            <w:pPr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乙级：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工程测量、界线与不动产测绘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</w:p>
    <w:p>
      <w:pPr>
        <w:jc w:val="center"/>
        <w:rPr>
          <w:rFonts w:eastAsia="宋体" w:cs="Times New Roman"/>
          <w:b/>
          <w:spacing w:val="70"/>
          <w:sz w:val="36"/>
        </w:rPr>
      </w:pPr>
      <w:r>
        <w:rPr>
          <w:rFonts w:hint="eastAsia" w:eastAsia="宋体" w:cs="Times New Roman"/>
          <w:b/>
          <w:spacing w:val="70"/>
          <w:sz w:val="36"/>
        </w:rPr>
        <w:t xml:space="preserve">    </w:t>
      </w:r>
    </w:p>
    <w:p>
      <w:pPr>
        <w:jc w:val="center"/>
        <w:rPr>
          <w:rFonts w:eastAsia="宋体" w:cs="Times New Roman"/>
        </w:rPr>
      </w:pPr>
      <w:r>
        <w:rPr>
          <w:rFonts w:ascii="Times New Roman" w:hAnsi="Times New Roman" w:eastAsia="宋体" w:cs="宋体"/>
          <w:b/>
          <w:sz w:val="44"/>
          <w:szCs w:val="44"/>
          <w:lang w:bidi="ar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二、专业技术人员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Tahoma" w:hAnsi="Tahoma" w:eastAsia="宋体" w:cs="Tahoma"/>
                <w:sz w:val="24"/>
                <w:u w:val="single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张利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4"/>
                <w:lang w:eastAsia="zh-CN"/>
              </w:rPr>
            </w:pPr>
            <w:r>
              <w:rPr>
                <w:rFonts w:hint="eastAsia" w:cs="Times New Roman"/>
                <w:sz w:val="21"/>
                <w:szCs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张鸿洋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679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号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蔡林峰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卜贤猛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</w:tr>
    </w:tbl>
    <w:p>
      <w:pPr>
        <w:rPr>
          <w:rFonts w:hint="eastAsia" w:eastAsia="宋体" w:cs="Times New Roman"/>
          <w:lang w:eastAsia="zh-CN"/>
        </w:rPr>
      </w:pP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18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宋体" w:cs="Times New Roman"/>
                <w:b/>
                <w:sz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孔德兴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陈文强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eastAsia="宋体" w:cs="Times New Roman"/>
          <w:b/>
          <w:sz w:val="44"/>
          <w:szCs w:val="44"/>
        </w:rPr>
        <w:br w:type="page"/>
      </w: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三、技术装备</w:t>
      </w:r>
    </w:p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天越2023L427-44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天越2023L427-44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水准仪（不低于S1级精度）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信盈DS40A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0" w:right="-105" w:rightChars="0"/>
              <w:jc w:val="center"/>
              <w:rPr>
                <w:rStyle w:val="4"/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水准仪（不低于S1级精度）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信盈DS40A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Style w:val="4"/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eastAsia="宋体" w:cs="Times New Roman"/>
        </w:rPr>
      </w:pPr>
    </w:p>
    <w:p>
      <w:pPr>
        <w:rPr>
          <w:rFonts w:eastAsia="宋体" w:cs="Times New Roman"/>
        </w:rPr>
      </w:pPr>
      <w:r>
        <w:rPr>
          <w:rFonts w:eastAsia="宋体" w:cs="Times New Roman"/>
        </w:rPr>
        <w:br w:type="page"/>
      </w:r>
    </w:p>
    <w:p>
      <w:pPr>
        <w:jc w:val="center"/>
        <w:rPr>
          <w:rFonts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  <w:lang w:bidi="ar"/>
        </w:rPr>
        <w:t>四、测绘业绩</w:t>
      </w:r>
    </w:p>
    <w:p>
      <w:pPr>
        <w:rPr>
          <w:rFonts w:eastAsia="宋体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eastAsia="宋体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  <w:sz w:val="24"/>
                <w:szCs w:val="32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 w:cs="Times New Roma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rPr>
                <w:rFonts w:eastAsia="宋体" w:cs="Times New Roman"/>
                <w:bCs/>
              </w:rPr>
            </w:pPr>
          </w:p>
        </w:tc>
      </w:tr>
    </w:tbl>
    <w:p>
      <w:pPr>
        <w:rPr>
          <w:rFonts w:eastAsia="宋体" w:cs="Times New Roman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ascii="Times New Roman" w:hAnsi="Times New Roman" w:eastAsia="宋体" w:cs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eastAsia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0" w:firstLine="0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无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 xml:space="preserve">      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eastAsia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eastAsia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-PUA"/>
                <w:bCs/>
                <w:kern w:val="200"/>
                <w:szCs w:val="21"/>
                <w:lang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E76"/>
    <w:rsid w:val="064B634C"/>
    <w:rsid w:val="09F503D7"/>
    <w:rsid w:val="24721B68"/>
    <w:rsid w:val="26AB3E85"/>
    <w:rsid w:val="273F1621"/>
    <w:rsid w:val="2C5B62AD"/>
    <w:rsid w:val="31816160"/>
    <w:rsid w:val="32C548E4"/>
    <w:rsid w:val="38381A81"/>
    <w:rsid w:val="3E560958"/>
    <w:rsid w:val="442C30E2"/>
    <w:rsid w:val="48A93E76"/>
    <w:rsid w:val="4B5C5239"/>
    <w:rsid w:val="4E071CA3"/>
    <w:rsid w:val="57C029C8"/>
    <w:rsid w:val="5FBE1C75"/>
    <w:rsid w:val="63C11888"/>
    <w:rsid w:val="6B9B2F3F"/>
    <w:rsid w:val="6D3230EF"/>
    <w:rsid w:val="6F8601B1"/>
    <w:rsid w:val="77973A31"/>
    <w:rsid w:val="7D9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  <w:style w:type="paragraph" w:customStyle="1" w:styleId="5">
    <w:name w:val="_Style 2"/>
    <w:next w:val="1"/>
    <w:qFormat/>
    <w:uiPriority w:val="0"/>
    <w:pPr>
      <w:widowControl w:val="0"/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区国土资源和规划局</Company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2023-04-20T06:19:00Z</dcterms:created>
  <dc:creator>崔巧彤</dc:creator>
  <cp:lastModifiedBy>白云区规划和自然资源局</cp:lastModifiedBy>
  <dcterms:modified xsi:type="dcterms:W3CDTF">2025-05-21T06:49:59Z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A859E63F339F4573B8ED08D20E0EAED6</vt:lpwstr>
  </property>
</Properties>
</file>