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A49DE">
      <w:pPr>
        <w:spacing w:line="560" w:lineRule="exact"/>
        <w:jc w:val="left"/>
        <w:rPr>
          <w:rFonts w:hint="eastAsia" w:eastAsia="方正小标宋简体"/>
          <w:sz w:val="44"/>
          <w:szCs w:val="44"/>
        </w:rPr>
      </w:pPr>
    </w:p>
    <w:p w14:paraId="4F7F2811">
      <w:pPr>
        <w:spacing w:line="560" w:lineRule="exact"/>
        <w:rPr>
          <w:rFonts w:eastAsia="方正小标宋简体"/>
          <w:sz w:val="44"/>
          <w:szCs w:val="44"/>
        </w:rPr>
      </w:pPr>
    </w:p>
    <w:p w14:paraId="73F93651">
      <w:pPr>
        <w:spacing w:line="560" w:lineRule="exact"/>
        <w:rPr>
          <w:rFonts w:eastAsia="方正小标宋简体"/>
          <w:sz w:val="44"/>
          <w:szCs w:val="44"/>
        </w:rPr>
      </w:pPr>
    </w:p>
    <w:p w14:paraId="28FFAAAD">
      <w:pPr>
        <w:spacing w:before="0" w:line="534" w:lineRule="exact"/>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关于广州市花都区2025年度第</w:t>
      </w:r>
      <w:r>
        <w:rPr>
          <w:rFonts w:hint="eastAsia" w:ascii="方正小标宋简体" w:hAnsi="方正小标宋简体" w:eastAsia="方正小标宋简体" w:cs="方正小标宋简体"/>
          <w:sz w:val="44"/>
          <w:szCs w:val="44"/>
          <w:lang w:val="en-US" w:eastAsia="zh-CN"/>
        </w:rPr>
        <w:t>四十二</w:t>
      </w:r>
      <w:r>
        <w:rPr>
          <w:rFonts w:hint="eastAsia" w:ascii="方正小标宋简体" w:hAnsi="方正小标宋简体" w:eastAsia="方正小标宋简体" w:cs="方正小标宋简体"/>
          <w:sz w:val="44"/>
          <w:szCs w:val="44"/>
        </w:rPr>
        <w:t>批次城镇建设用地（广州市花都区新街村、大陵村城中村改造项目地块二〔低效用地〕）</w:t>
      </w:r>
    </w:p>
    <w:p w14:paraId="2C8EA882">
      <w:pPr>
        <w:spacing w:before="0" w:line="534" w:lineRule="exact"/>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的征地补偿安置方案</w:t>
      </w:r>
    </w:p>
    <w:p w14:paraId="470FBD40">
      <w:pPr>
        <w:spacing w:before="7" w:line="240" w:lineRule="auto"/>
        <w:rPr>
          <w:rFonts w:ascii="Adobe 黑体 Std R" w:hAnsi="Adobe 黑体 Std R" w:eastAsia="Adobe 黑体 Std R" w:cs="Adobe 黑体 Std R"/>
          <w:sz w:val="34"/>
          <w:szCs w:val="34"/>
        </w:rPr>
      </w:pPr>
    </w:p>
    <w:p w14:paraId="29BC23BE">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为实施广州市</w:t>
      </w:r>
      <w:r>
        <w:rPr>
          <w:rFonts w:hint="eastAsia" w:ascii="Times New Roman" w:hAnsi="Times New Roman" w:eastAsia="仿宋_GB2312" w:cs="仿宋_GB2312"/>
          <w:spacing w:val="-20"/>
          <w:sz w:val="32"/>
          <w:szCs w:val="32"/>
          <w:lang w:eastAsia="zh-CN"/>
        </w:rPr>
        <w:t>花都</w:t>
      </w:r>
      <w:r>
        <w:rPr>
          <w:rFonts w:hint="eastAsia" w:ascii="Times New Roman" w:hAnsi="Times New Roman" w:eastAsia="仿宋_GB2312" w:cs="仿宋_GB2312"/>
          <w:sz w:val="32"/>
          <w:szCs w:val="32"/>
        </w:rPr>
        <w:t>区</w:t>
      </w:r>
      <w:r>
        <w:rPr>
          <w:rFonts w:hint="eastAsia" w:ascii="Times New Roman" w:hAnsi="Times New Roman" w:eastAsia="仿宋_GB2312" w:cs="仿宋_GB2312"/>
          <w:spacing w:val="-20"/>
          <w:sz w:val="32"/>
          <w:szCs w:val="32"/>
          <w:lang w:val="en-US" w:eastAsia="zh-CN"/>
        </w:rPr>
        <w:t>新华</w:t>
      </w:r>
      <w:r>
        <w:rPr>
          <w:rFonts w:hint="eastAsia" w:ascii="Times New Roman" w:hAnsi="Times New Roman" w:eastAsia="仿宋_GB2312" w:cs="仿宋_GB2312"/>
          <w:sz w:val="32"/>
          <w:szCs w:val="32"/>
          <w:lang w:eastAsia="zh-CN"/>
        </w:rPr>
        <w:t>街</w:t>
      </w:r>
      <w:r>
        <w:rPr>
          <w:rFonts w:hint="eastAsia" w:ascii="Times New Roman" w:hAnsi="Times New Roman" w:eastAsia="仿宋_GB2312" w:cs="仿宋_GB2312"/>
          <w:sz w:val="32"/>
          <w:szCs w:val="32"/>
        </w:rPr>
        <w:t>建设规划，完善城市功</w:t>
      </w:r>
      <w:r>
        <w:rPr>
          <w:rFonts w:hint="eastAsia" w:ascii="Times New Roman" w:hAnsi="Times New Roman" w:eastAsia="仿宋_GB2312" w:cs="仿宋_GB2312"/>
          <w:spacing w:val="6"/>
          <w:sz w:val="32"/>
          <w:szCs w:val="32"/>
        </w:rPr>
        <w:t>能</w:t>
      </w:r>
      <w:r>
        <w:rPr>
          <w:rFonts w:hint="eastAsia" w:ascii="Times New Roman" w:hAnsi="Times New Roman" w:eastAsia="仿宋_GB2312" w:cs="仿宋_GB2312"/>
          <w:spacing w:val="6"/>
          <w:sz w:val="32"/>
          <w:szCs w:val="32"/>
          <w:lang w:eastAsia="zh-CN"/>
        </w:rPr>
        <w:t>，</w:t>
      </w:r>
      <w:r>
        <w:rPr>
          <w:rFonts w:hint="eastAsia" w:ascii="Times New Roman" w:hAnsi="Times New Roman" w:eastAsia="仿宋_GB2312" w:cs="仿宋_GB2312"/>
          <w:spacing w:val="6"/>
          <w:sz w:val="32"/>
          <w:szCs w:val="32"/>
        </w:rPr>
        <w:t>改善城市环境，促进经济、文化发展，广州市</w:t>
      </w:r>
      <w:r>
        <w:rPr>
          <w:rFonts w:hint="eastAsia" w:ascii="Times New Roman" w:hAnsi="Times New Roman" w:eastAsia="仿宋_GB2312" w:cs="仿宋_GB2312"/>
          <w:spacing w:val="6"/>
          <w:sz w:val="32"/>
          <w:szCs w:val="32"/>
          <w:lang w:eastAsia="zh-CN"/>
        </w:rPr>
        <w:t>花都</w:t>
      </w:r>
      <w:r>
        <w:rPr>
          <w:rFonts w:hint="eastAsia" w:ascii="Times New Roman" w:hAnsi="Times New Roman" w:eastAsia="仿宋_GB2312" w:cs="仿宋_GB2312"/>
          <w:spacing w:val="3"/>
          <w:sz w:val="32"/>
          <w:szCs w:val="32"/>
        </w:rPr>
        <w:t>区人</w:t>
      </w:r>
      <w:r>
        <w:rPr>
          <w:rFonts w:hint="eastAsia" w:ascii="Times New Roman" w:hAnsi="Times New Roman" w:eastAsia="仿宋_GB2312" w:cs="仿宋_GB2312"/>
          <w:spacing w:val="5"/>
          <w:sz w:val="32"/>
          <w:szCs w:val="32"/>
        </w:rPr>
        <w:t>民政府拟征收</w:t>
      </w:r>
      <w:r>
        <w:rPr>
          <w:rFonts w:hint="eastAsia" w:ascii="Times New Roman" w:hAnsi="Times New Roman" w:eastAsia="仿宋_GB2312" w:cs="仿宋_GB2312"/>
          <w:spacing w:val="5"/>
          <w:sz w:val="32"/>
          <w:szCs w:val="32"/>
          <w:lang w:val="en-US" w:eastAsia="zh-CN"/>
        </w:rPr>
        <w:t>广州市花都区</w:t>
      </w:r>
      <w:r>
        <w:rPr>
          <w:rFonts w:hint="eastAsia" w:ascii="Times New Roman" w:hAnsi="Times New Roman" w:eastAsia="仿宋_GB2312" w:cs="仿宋_GB2312"/>
          <w:spacing w:val="-27"/>
          <w:sz w:val="32"/>
          <w:szCs w:val="32"/>
          <w:lang w:val="en-US" w:eastAsia="zh-CN"/>
        </w:rPr>
        <w:t>新华街新街村钟村</w:t>
      </w:r>
      <w:r>
        <w:rPr>
          <w:rFonts w:hint="eastAsia" w:ascii="Times New Roman" w:hAnsi="Times New Roman" w:eastAsia="仿宋_GB2312" w:cs="仿宋_GB2312"/>
          <w:spacing w:val="6"/>
          <w:sz w:val="32"/>
          <w:szCs w:val="32"/>
          <w:lang w:eastAsia="zh-CN"/>
        </w:rPr>
        <w:t>经济合作社、</w:t>
      </w:r>
      <w:r>
        <w:rPr>
          <w:rFonts w:hint="eastAsia" w:ascii="Times New Roman" w:hAnsi="Times New Roman" w:eastAsia="仿宋_GB2312" w:cs="仿宋_GB2312"/>
          <w:spacing w:val="6"/>
          <w:sz w:val="32"/>
          <w:szCs w:val="32"/>
          <w:lang w:val="en-US" w:eastAsia="zh-CN"/>
        </w:rPr>
        <w:t>四和</w:t>
      </w:r>
      <w:r>
        <w:rPr>
          <w:rFonts w:hint="eastAsia" w:ascii="Times New Roman" w:hAnsi="Times New Roman" w:eastAsia="仿宋_GB2312" w:cs="仿宋_GB2312"/>
          <w:spacing w:val="6"/>
          <w:sz w:val="32"/>
          <w:szCs w:val="32"/>
          <w:lang w:eastAsia="zh-CN"/>
        </w:rPr>
        <w:t>经济合作社</w:t>
      </w:r>
      <w:r>
        <w:rPr>
          <w:rFonts w:hint="eastAsia" w:ascii="Times New Roman" w:hAnsi="Times New Roman" w:eastAsia="仿宋_GB2312" w:cs="仿宋_GB2312"/>
          <w:spacing w:val="6"/>
          <w:sz w:val="32"/>
          <w:szCs w:val="32"/>
        </w:rPr>
        <w:t>属</w:t>
      </w:r>
      <w:r>
        <w:rPr>
          <w:rFonts w:hint="eastAsia" w:ascii="Times New Roman" w:hAnsi="Times New Roman" w:eastAsia="仿宋_GB2312" w:cs="仿宋_GB2312"/>
          <w:sz w:val="32"/>
          <w:szCs w:val="32"/>
        </w:rPr>
        <w:t>下的集体土地</w:t>
      </w:r>
      <w:r>
        <w:rPr>
          <w:rFonts w:hint="eastAsia" w:ascii="Times New Roman" w:hAnsi="Times New Roman" w:eastAsia="仿宋_GB2312" w:cs="Times New Roman"/>
          <w:sz w:val="32"/>
          <w:szCs w:val="32"/>
          <w:lang w:val="en-US" w:eastAsia="zh-CN"/>
        </w:rPr>
        <w:t>6.3796</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仿宋_GB2312"/>
          <w:sz w:val="32"/>
          <w:szCs w:val="32"/>
        </w:rPr>
        <w:t>根据《中华人民共和国土地管理法》第二条、第四十五条、第四十七条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《中华人民共和国土地管理法实施条例》第二十七条、第二十八条，以及《广东省</w:t>
      </w:r>
      <w:r>
        <w:rPr>
          <w:rFonts w:hint="eastAsia" w:ascii="Times New Roman" w:hAnsi="Times New Roman" w:eastAsia="仿宋_GB2312" w:cs="仿宋_GB2312"/>
          <w:spacing w:val="6"/>
          <w:sz w:val="32"/>
          <w:szCs w:val="32"/>
        </w:rPr>
        <w:t>土地管理条例》第三十条等规定，结合</w:t>
      </w:r>
      <w:r>
        <w:rPr>
          <w:rFonts w:hint="eastAsia" w:ascii="Times New Roman" w:hAnsi="Times New Roman" w:eastAsia="仿宋_GB2312" w:cs="仿宋_GB2312"/>
          <w:spacing w:val="6"/>
          <w:sz w:val="32"/>
          <w:szCs w:val="32"/>
          <w:lang w:eastAsia="zh-CN"/>
        </w:rPr>
        <w:t>花都</w:t>
      </w:r>
      <w:r>
        <w:rPr>
          <w:rFonts w:hint="eastAsia" w:ascii="Times New Roman" w:hAnsi="Times New Roman" w:eastAsia="仿宋_GB2312" w:cs="仿宋_GB2312"/>
          <w:spacing w:val="5"/>
          <w:sz w:val="32"/>
          <w:szCs w:val="32"/>
        </w:rPr>
        <w:t>区的征收农用地</w:t>
      </w:r>
      <w:r>
        <w:rPr>
          <w:rFonts w:hint="eastAsia" w:ascii="Times New Roman" w:hAnsi="Times New Roman" w:eastAsia="仿宋_GB2312" w:cs="仿宋_GB2312"/>
          <w:sz w:val="32"/>
          <w:szCs w:val="32"/>
        </w:rPr>
        <w:t>区片综合地价和实际情况，拟定了征地补偿安置方案，具体如下：</w:t>
      </w:r>
    </w:p>
    <w:p w14:paraId="75000BE0">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一、征收范围</w:t>
      </w:r>
    </w:p>
    <w:p w14:paraId="76CD3C8D">
      <w:pPr>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拟征收土地位于广州市花都区</w:t>
      </w:r>
      <w:r>
        <w:rPr>
          <w:rFonts w:hint="default" w:ascii="Times New Roman" w:hAnsi="Times New Roman" w:eastAsia="仿宋_GB2312" w:cs="Times New Roman"/>
          <w:color w:val="auto"/>
          <w:sz w:val="32"/>
          <w:szCs w:val="32"/>
          <w:lang w:val="en-US" w:eastAsia="zh-CN"/>
        </w:rPr>
        <w:t>新华街新街村钟村经济合作社、四和经济合作社</w:t>
      </w:r>
      <w:r>
        <w:rPr>
          <w:rFonts w:hint="default" w:ascii="Times New Roman" w:hAnsi="Times New Roman" w:eastAsia="仿宋_GB2312" w:cs="Times New Roman"/>
          <w:color w:val="auto"/>
          <w:sz w:val="32"/>
          <w:szCs w:val="32"/>
        </w:rPr>
        <w:t>范围内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实际征收土地范围以最终批准文件为准。</w:t>
      </w:r>
    </w:p>
    <w:p w14:paraId="362BF9B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二、征收目的</w:t>
      </w:r>
    </w:p>
    <w:p w14:paraId="47666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中华人民共和国土地管理法》第四十五条的规定，本次征收土地目的为在国土空间总体规划确定的城镇建设用地范围内，经省级以上人民政府批准由县级以上地方人民政府组织实施的成片开发建设需要用地的</w:t>
      </w:r>
      <w:r>
        <w:rPr>
          <w:rFonts w:hint="eastAsia" w:ascii="Times New Roman" w:hAnsi="Times New Roman" w:eastAsia="仿宋_GB2312" w:cs="Times New Roman"/>
          <w:color w:val="auto"/>
          <w:sz w:val="32"/>
          <w:szCs w:val="32"/>
          <w:highlight w:val="none"/>
          <w:lang w:eastAsia="zh-CN"/>
        </w:rPr>
        <w:t>。</w:t>
      </w:r>
    </w:p>
    <w:p w14:paraId="5F3FC73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三、土地现状</w:t>
      </w:r>
    </w:p>
    <w:p w14:paraId="66B4C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747AB2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w:t>
      </w:r>
      <w:r>
        <w:rPr>
          <w:rFonts w:hint="default" w:ascii="Times New Roman" w:hAnsi="Times New Roman" w:eastAsia="仿宋_GB2312" w:cs="Times New Roman"/>
          <w:sz w:val="32"/>
          <w:szCs w:val="32"/>
          <w:highlight w:val="none"/>
        </w:rPr>
        <w:t>广州市花都区</w:t>
      </w:r>
      <w:r>
        <w:rPr>
          <w:rFonts w:hint="eastAsia" w:ascii="Times New Roman" w:hAnsi="Times New Roman" w:eastAsia="仿宋_GB2312" w:cs="Times New Roman"/>
          <w:sz w:val="32"/>
          <w:szCs w:val="32"/>
          <w:lang w:val="en-US" w:eastAsia="zh-CN"/>
        </w:rPr>
        <w:t>新华街新街村钟村经济合作社、四和经济合作社</w:t>
      </w:r>
      <w:r>
        <w:rPr>
          <w:rFonts w:hint="default" w:ascii="Times New Roman" w:hAnsi="Times New Roman" w:eastAsia="仿宋_GB2312" w:cs="Times New Roman"/>
          <w:sz w:val="32"/>
          <w:szCs w:val="32"/>
        </w:rPr>
        <w:t>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ascii="Times New Roman" w:hAnsi="Times New Roman" w:eastAsia="仿宋_GB2312" w:cs="Times New Roman"/>
          <w:sz w:val="32"/>
          <w:szCs w:val="32"/>
          <w:lang w:val="en-US" w:eastAsia="zh-CN"/>
        </w:rPr>
        <w:t>6.3796</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95.6940</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均为</w:t>
      </w:r>
      <w:r>
        <w:rPr>
          <w:rFonts w:hint="default" w:ascii="Times New Roman" w:hAnsi="Times New Roman" w:eastAsia="仿宋_GB2312" w:cs="Times New Roman"/>
          <w:sz w:val="32"/>
          <w:szCs w:val="32"/>
        </w:rPr>
        <w:t>建设用地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不涉及农用地和</w:t>
      </w:r>
      <w:r>
        <w:rPr>
          <w:rFonts w:hint="eastAsia" w:ascii="Times New Roman" w:hAnsi="Times New Roman" w:eastAsia="仿宋_GB2312" w:cs="Times New Roman"/>
          <w:sz w:val="32"/>
          <w:szCs w:val="32"/>
          <w:lang w:eastAsia="zh-CN"/>
        </w:rPr>
        <w:t>未利用地</w:t>
      </w:r>
      <w:r>
        <w:rPr>
          <w:rFonts w:hint="default" w:ascii="Times New Roman" w:hAnsi="Times New Roman" w:eastAsia="仿宋_GB2312" w:cs="Times New Roman"/>
          <w:sz w:val="32"/>
          <w:szCs w:val="32"/>
          <w:lang w:eastAsia="zh-CN"/>
        </w:rPr>
        <w:t>。</w:t>
      </w:r>
    </w:p>
    <w:p w14:paraId="144AC0C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14:paraId="4538B4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14:paraId="22F8C2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rPr>
        <w:t>根据《</w:t>
      </w:r>
      <w:r>
        <w:rPr>
          <w:rFonts w:hint="eastAsia" w:ascii="Times New Roman" w:hAnsi="Times New Roman" w:eastAsia="仿宋_GB2312" w:cs="Times New Roman"/>
          <w:sz w:val="32"/>
          <w:szCs w:val="32"/>
          <w:highlight w:val="none"/>
          <w:lang w:eastAsia="zh-CN"/>
        </w:rPr>
        <w:t>广东省自然资源厅关于</w:t>
      </w:r>
      <w:r>
        <w:rPr>
          <w:rFonts w:hint="default" w:ascii="Times New Roman" w:hAnsi="Times New Roman" w:eastAsia="仿宋_GB2312" w:cs="Times New Roman"/>
          <w:sz w:val="32"/>
          <w:szCs w:val="32"/>
          <w:highlight w:val="none"/>
        </w:rPr>
        <w:t>广州</w:t>
      </w:r>
      <w:r>
        <w:rPr>
          <w:rFonts w:hint="eastAsia"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征收农用地区片综合地价</w:t>
      </w:r>
      <w:r>
        <w:rPr>
          <w:rFonts w:hint="eastAsia" w:ascii="Times New Roman" w:hAnsi="Times New Roman" w:eastAsia="仿宋_GB2312" w:cs="Times New Roman"/>
          <w:sz w:val="32"/>
          <w:szCs w:val="32"/>
          <w:highlight w:val="none"/>
          <w:lang w:eastAsia="zh-CN"/>
        </w:rPr>
        <w:t>成果的批复</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（粤自然资函〔202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103号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的规定，</w:t>
      </w:r>
      <w:r>
        <w:rPr>
          <w:rFonts w:hint="eastAsia" w:ascii="Times New Roman" w:hAnsi="Times New Roman" w:eastAsia="仿宋_GB2312" w:cs="Times New Roman"/>
          <w:sz w:val="32"/>
          <w:szCs w:val="32"/>
          <w:lang w:eastAsia="zh-CN"/>
        </w:rPr>
        <w:t>土地补偿标准为</w:t>
      </w:r>
      <w:r>
        <w:rPr>
          <w:rFonts w:hint="eastAsia" w:ascii="Times New Roman" w:hAnsi="Times New Roman" w:eastAsia="仿宋_GB2312" w:cs="Times New Roman"/>
          <w:sz w:val="32"/>
          <w:szCs w:val="32"/>
          <w:lang w:val="en-US" w:eastAsia="zh-CN"/>
        </w:rPr>
        <w:t>120万元/公顷，安置补助标准为120万元/公顷。</w:t>
      </w:r>
    </w:p>
    <w:p w14:paraId="18B0A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p>
    <w:p w14:paraId="084F7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val="0"/>
          <w:bCs/>
          <w:snapToGrid/>
          <w:color w:val="auto"/>
          <w:spacing w:val="0"/>
          <w:kern w:val="2"/>
          <w:sz w:val="32"/>
          <w:szCs w:val="32"/>
          <w:highlight w:val="none"/>
          <w:lang w:val="en-US" w:eastAsia="zh-CN"/>
        </w:rPr>
        <w:t>参照《广州市花都区人民政府办公室关于印发广州市花都区农民集体所有土地上房屋征收补偿安置办法的通知》（花府办规〔2025〕4号）的规定执行。</w:t>
      </w:r>
    </w:p>
    <w:p w14:paraId="395278A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青苗及其他地上附着物补偿</w:t>
      </w:r>
    </w:p>
    <w:p w14:paraId="62EC3168">
      <w:pPr>
        <w:pageBreakBefore w:val="0"/>
        <w:numPr>
          <w:ilvl w:val="-1"/>
          <w:numId w:val="0"/>
        </w:numPr>
        <w:kinsoku/>
        <w:wordWrap/>
        <w:overflowPunct/>
        <w:topLinePunct w:val="0"/>
        <w:autoSpaceDE/>
        <w:autoSpaceDN/>
        <w:bidi w:val="0"/>
        <w:adjustRightInd/>
        <w:spacing w:after="0" w:line="560" w:lineRule="exact"/>
        <w:ind w:firstLine="640" w:firstLineChars="200"/>
        <w:jc w:val="both"/>
        <w:textAlignment w:val="auto"/>
        <w:rPr>
          <w:rFonts w:hint="default" w:ascii="Times New Roman" w:hAnsi="Times New Roman" w:eastAsia="仿宋_GB2312"/>
          <w:highlight w:val="none"/>
        </w:rPr>
      </w:pPr>
      <w:r>
        <w:rPr>
          <w:rFonts w:hint="eastAsia" w:ascii="Times New Roman" w:hAnsi="Times New Roman" w:eastAsia="仿宋_GB2312" w:cs="Times New Roman"/>
          <w:color w:val="auto"/>
          <w:sz w:val="32"/>
          <w:szCs w:val="32"/>
          <w:highlight w:val="none"/>
          <w:lang w:val="en-US" w:eastAsia="zh-CN"/>
        </w:rPr>
        <w:t>青苗补偿及其他地上附着物按照</w:t>
      </w:r>
      <w:r>
        <w:rPr>
          <w:rFonts w:hint="default" w:ascii="Times New Roman" w:hAnsi="Times New Roman" w:eastAsia="仿宋_GB2312" w:cs="Times New Roman"/>
          <w:color w:val="auto"/>
          <w:sz w:val="32"/>
          <w:szCs w:val="32"/>
          <w:highlight w:val="none"/>
          <w:lang w:eastAsia="zh-CN"/>
        </w:rPr>
        <w:t>《广州</w:t>
      </w:r>
      <w:r>
        <w:rPr>
          <w:rFonts w:hint="default" w:ascii="Times New Roman" w:hAnsi="Times New Roman" w:eastAsia="仿宋_GB2312" w:cs="Times New Roman"/>
          <w:sz w:val="32"/>
          <w:szCs w:val="32"/>
          <w:highlight w:val="none"/>
          <w:lang w:eastAsia="zh-CN"/>
        </w:rPr>
        <w:t>市花都区人民政府办公室关于印发广州市花都区“依法征收、净地出让”城中村改造项目农民集体所有土地征收补偿安置方案的通知》（花府办〔2025〕6号）的规定执行</w:t>
      </w:r>
      <w:r>
        <w:rPr>
          <w:rFonts w:hint="eastAsia" w:ascii="Times New Roman" w:hAnsi="Times New Roman" w:eastAsia="仿宋_GB2312" w:cs="Times New Roman"/>
          <w:sz w:val="32"/>
          <w:szCs w:val="32"/>
          <w:highlight w:val="none"/>
          <w:lang w:eastAsia="zh-CN"/>
        </w:rPr>
        <w:t>。</w:t>
      </w:r>
    </w:p>
    <w:p w14:paraId="62B7BEB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五、安置对象</w:t>
      </w:r>
    </w:p>
    <w:p w14:paraId="4764A6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439EE8FF">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六、安置方式和社会保障</w:t>
      </w:r>
    </w:p>
    <w:p w14:paraId="713C0B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（一）货币安置。</w:t>
      </w:r>
      <w:r>
        <w:rPr>
          <w:rFonts w:hint="eastAsia" w:ascii="Times New Roman" w:hAnsi="Times New Roman" w:eastAsia="仿宋_GB2312" w:cs="Times New Roman"/>
          <w:color w:val="auto"/>
          <w:sz w:val="32"/>
          <w:szCs w:val="32"/>
          <w:lang w:val="en-US" w:eastAsia="zh-CN"/>
        </w:rPr>
        <w:t>有关</w:t>
      </w:r>
      <w:r>
        <w:rPr>
          <w:rFonts w:hint="default" w:ascii="Times New Roman" w:hAnsi="Times New Roman" w:eastAsia="仿宋_GB2312" w:cs="Times New Roman"/>
          <w:color w:val="auto"/>
          <w:sz w:val="32"/>
          <w:szCs w:val="32"/>
        </w:rPr>
        <w:t>费用已包含在土地补偿</w:t>
      </w:r>
      <w:r>
        <w:rPr>
          <w:rFonts w:hint="eastAsia" w:ascii="Times New Roman" w:hAnsi="Times New Roman" w:eastAsia="仿宋_GB2312" w:cs="Times New Roman"/>
          <w:color w:val="auto"/>
          <w:sz w:val="32"/>
          <w:szCs w:val="32"/>
          <w:lang w:val="en-US" w:eastAsia="zh-CN"/>
        </w:rPr>
        <w:t>费与</w:t>
      </w:r>
      <w:r>
        <w:rPr>
          <w:rFonts w:hint="default" w:ascii="Times New Roman" w:hAnsi="Times New Roman" w:eastAsia="仿宋_GB2312" w:cs="Times New Roman"/>
          <w:color w:val="auto"/>
          <w:sz w:val="32"/>
          <w:szCs w:val="32"/>
        </w:rPr>
        <w:t>安置</w:t>
      </w:r>
      <w:r>
        <w:rPr>
          <w:rFonts w:hint="eastAsia" w:ascii="Times New Roman" w:hAnsi="Times New Roman" w:eastAsia="仿宋_GB2312" w:cs="Times New Roman"/>
          <w:color w:val="auto"/>
          <w:sz w:val="32"/>
          <w:szCs w:val="32"/>
          <w:lang w:val="en-US" w:eastAsia="zh-CN"/>
        </w:rPr>
        <w:t>补助</w:t>
      </w:r>
      <w:r>
        <w:rPr>
          <w:rFonts w:hint="default" w:ascii="Times New Roman" w:hAnsi="Times New Roman" w:eastAsia="仿宋_GB2312" w:cs="Times New Roman"/>
          <w:color w:val="auto"/>
          <w:sz w:val="32"/>
          <w:szCs w:val="32"/>
        </w:rPr>
        <w:t>费中。</w:t>
      </w:r>
    </w:p>
    <w:p w14:paraId="495300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sz w:val="32"/>
          <w:szCs w:val="32"/>
        </w:rPr>
        <w:t>（二）留用地安置。</w:t>
      </w:r>
      <w:r>
        <w:rPr>
          <w:rFonts w:hint="default" w:ascii="Times New Roman" w:hAnsi="Times New Roman" w:eastAsia="仿宋_GB2312" w:cs="Times New Roman"/>
          <w:color w:val="auto"/>
          <w:kern w:val="2"/>
          <w:sz w:val="32"/>
          <w:szCs w:val="32"/>
          <w:lang w:val="en-US" w:eastAsia="zh-CN" w:bidi="ar"/>
        </w:rPr>
        <w:t>根据</w:t>
      </w:r>
      <w:r>
        <w:rPr>
          <w:rFonts w:hint="default" w:ascii="Times New Roman" w:hAnsi="Times New Roman" w:eastAsia="仿宋_GB2312" w:cs="Times New Roman"/>
          <w:bCs/>
          <w:color w:val="auto"/>
          <w:kern w:val="2"/>
          <w:sz w:val="32"/>
          <w:szCs w:val="32"/>
          <w:lang w:val="en-US" w:eastAsia="zh-CN" w:bidi="ar"/>
        </w:rPr>
        <w:t>《广东省人民政府办公厅关于加强征收农村集体土地留用地安置管理工作的意见》</w:t>
      </w:r>
      <w:r>
        <w:rPr>
          <w:rFonts w:hint="default" w:ascii="Times New Roman" w:hAnsi="Times New Roman" w:eastAsia="仿宋_GB2312" w:cs="Times New Roman"/>
          <w:color w:val="auto"/>
          <w:kern w:val="2"/>
          <w:sz w:val="32"/>
          <w:szCs w:val="32"/>
          <w:lang w:val="en-US" w:eastAsia="zh-CN" w:bidi="ar"/>
        </w:rPr>
        <w:t>（粤</w:t>
      </w:r>
      <w:r>
        <w:rPr>
          <w:rFonts w:hint="default" w:ascii="Times New Roman" w:hAnsi="Times New Roman" w:eastAsia="仿宋_GB2312" w:cs="Times New Roman"/>
          <w:bCs/>
          <w:i w:val="0"/>
          <w:iCs w:val="0"/>
          <w:caps w:val="0"/>
          <w:color w:val="auto"/>
          <w:spacing w:val="0"/>
          <w:kern w:val="2"/>
          <w:sz w:val="32"/>
          <w:szCs w:val="32"/>
          <w:lang w:val="en-US" w:eastAsia="zh-CN" w:bidi="ar"/>
        </w:rPr>
        <w:t>府办</w:t>
      </w:r>
      <w:r>
        <w:rPr>
          <w:rFonts w:hint="default" w:ascii="Times New Roman" w:hAnsi="Times New Roman" w:eastAsia="仿宋_GB2312" w:cs="Times New Roman"/>
          <w:color w:val="auto"/>
          <w:kern w:val="2"/>
          <w:sz w:val="32"/>
          <w:szCs w:val="32"/>
          <w:lang w:val="en-US" w:eastAsia="zh-CN" w:bidi="ar"/>
        </w:rPr>
        <w:t>〔2016〕</w:t>
      </w:r>
      <w:r>
        <w:rPr>
          <w:rFonts w:hint="default" w:ascii="Times New Roman" w:hAnsi="Times New Roman" w:eastAsia="仿宋_GB2312" w:cs="Times New Roman"/>
          <w:bCs/>
          <w:color w:val="auto"/>
          <w:kern w:val="2"/>
          <w:sz w:val="32"/>
          <w:szCs w:val="32"/>
          <w:u w:val="none"/>
          <w:lang w:val="en-US" w:eastAsia="zh-CN" w:bidi="ar"/>
        </w:rPr>
        <w:t>30</w:t>
      </w:r>
      <w:r>
        <w:rPr>
          <w:rFonts w:hint="default" w:ascii="Times New Roman" w:hAnsi="Times New Roman" w:eastAsia="仿宋_GB2312" w:cs="Times New Roman"/>
          <w:color w:val="auto"/>
          <w:kern w:val="2"/>
          <w:sz w:val="32"/>
          <w:szCs w:val="32"/>
          <w:lang w:val="en-US" w:eastAsia="zh-CN" w:bidi="ar"/>
        </w:rPr>
        <w:t>号）的规定，按实际征收土地面积的10%安排留用地，按照置换物业安排留用地。</w:t>
      </w:r>
    </w:p>
    <w:p w14:paraId="0B6B1D60">
      <w:pPr>
        <w:keepNext w:val="0"/>
        <w:keepLines w:val="0"/>
        <w:pageBreakBefore w:val="0"/>
        <w:widowControl w:val="0"/>
        <w:tabs>
          <w:tab w:val="left" w:pos="540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（三）社会保障。</w:t>
      </w:r>
      <w:r>
        <w:rPr>
          <w:rFonts w:hint="eastAsia" w:ascii="Times New Roman" w:hAnsi="Times New Roman" w:eastAsia="仿宋_GB2312" w:cs="仿宋_GB2312"/>
          <w:color w:val="auto"/>
          <w:sz w:val="32"/>
          <w:szCs w:val="32"/>
          <w:u w:val="none"/>
        </w:rPr>
        <w:t>该项目征收</w:t>
      </w:r>
      <w:r>
        <w:rPr>
          <w:rFonts w:hint="eastAsia" w:ascii="Times New Roman" w:hAnsi="Times New Roman" w:eastAsia="仿宋_GB2312" w:cs="仿宋_GB2312"/>
          <w:color w:val="auto"/>
          <w:sz w:val="32"/>
          <w:szCs w:val="32"/>
          <w:u w:val="none"/>
          <w:lang w:val="en-US" w:eastAsia="zh-CN"/>
        </w:rPr>
        <w:t>新华</w:t>
      </w:r>
      <w:r>
        <w:rPr>
          <w:rFonts w:hint="eastAsia" w:ascii="Times New Roman" w:hAnsi="Times New Roman" w:eastAsia="仿宋_GB2312" w:cs="仿宋_GB2312"/>
          <w:color w:val="auto"/>
          <w:sz w:val="32"/>
          <w:szCs w:val="32"/>
          <w:u w:val="none"/>
        </w:rPr>
        <w:t>街</w:t>
      </w:r>
      <w:r>
        <w:rPr>
          <w:rFonts w:hint="eastAsia" w:ascii="Times New Roman" w:hAnsi="Times New Roman" w:eastAsia="仿宋_GB2312" w:cs="仿宋_GB2312"/>
          <w:color w:val="auto"/>
          <w:sz w:val="32"/>
          <w:szCs w:val="32"/>
          <w:u w:val="none"/>
          <w:lang w:val="en-US" w:eastAsia="zh-CN"/>
        </w:rPr>
        <w:t>新街</w:t>
      </w:r>
      <w:r>
        <w:rPr>
          <w:rFonts w:hint="eastAsia" w:ascii="Times New Roman" w:hAnsi="Times New Roman" w:eastAsia="仿宋_GB2312" w:cs="仿宋_GB2312"/>
          <w:color w:val="auto"/>
          <w:sz w:val="32"/>
          <w:szCs w:val="32"/>
          <w:u w:val="none"/>
        </w:rPr>
        <w:t>村土地面积共95.6940亩，</w:t>
      </w:r>
      <w:r>
        <w:rPr>
          <w:rFonts w:hint="eastAsia" w:ascii="Times New Roman" w:hAnsi="Times New Roman" w:eastAsia="仿宋_GB2312" w:cs="仿宋_GB2312"/>
          <w:color w:val="auto"/>
          <w:kern w:val="2"/>
          <w:sz w:val="32"/>
          <w:szCs w:val="32"/>
          <w:lang w:val="en-US" w:eastAsia="zh-CN" w:bidi="ar"/>
        </w:rPr>
        <w:t>根据《广东省人民政府办公厅转发省人力资源社会保障厅关于进一步完善我省被征地农民养老保障政策意见的通知》（粤府办〔2021〕22号）规定，核定该项目按2.14万元/亩标准一次性计提征地社保费共</w:t>
      </w:r>
      <w:r>
        <w:rPr>
          <w:rFonts w:hint="eastAsia" w:ascii="Times New Roman" w:hAnsi="Times New Roman" w:eastAsia="仿宋_GB2312" w:cs="仿宋_GB2312"/>
          <w:color w:val="auto"/>
          <w:kern w:val="2"/>
          <w:sz w:val="32"/>
          <w:szCs w:val="32"/>
          <w:highlight w:val="none"/>
          <w:lang w:val="en-US" w:eastAsia="zh-CN" w:bidi="ar"/>
        </w:rPr>
        <w:t>204.80万</w:t>
      </w:r>
      <w:r>
        <w:rPr>
          <w:rFonts w:hint="eastAsia" w:ascii="Times New Roman" w:hAnsi="Times New Roman" w:eastAsia="仿宋_GB2312" w:cs="仿宋_GB2312"/>
          <w:color w:val="auto"/>
          <w:kern w:val="2"/>
          <w:sz w:val="32"/>
          <w:szCs w:val="32"/>
          <w:lang w:val="en-US" w:eastAsia="zh-CN" w:bidi="ar"/>
        </w:rPr>
        <w:t>元，预存入区“收缴被征地农民养老保障资金过渡户”，</w:t>
      </w:r>
      <w:r>
        <w:rPr>
          <w:rFonts w:hint="eastAsia" w:ascii="Times New Roman" w:hAnsi="Times New Roman" w:eastAsia="仿宋_GB2312" w:cs="仿宋_GB2312"/>
          <w:color w:val="auto"/>
          <w:kern w:val="2"/>
          <w:sz w:val="32"/>
          <w:szCs w:val="32"/>
          <w:u w:val="none"/>
          <w:lang w:val="en-US" w:eastAsia="zh-CN" w:bidi="ar"/>
        </w:rPr>
        <w:t>专款用于被征地农民养老保障</w:t>
      </w:r>
      <w:r>
        <w:rPr>
          <w:rFonts w:hint="eastAsia" w:ascii="Times New Roman" w:hAnsi="Times New Roman" w:eastAsia="仿宋_GB2312" w:cs="仿宋_GB2312"/>
          <w:color w:val="auto"/>
          <w:kern w:val="2"/>
          <w:sz w:val="32"/>
          <w:szCs w:val="32"/>
          <w:lang w:val="en-US" w:eastAsia="zh-CN" w:bidi="ar"/>
        </w:rPr>
        <w:t>。</w:t>
      </w:r>
    </w:p>
    <w:p w14:paraId="616A9EA1">
      <w:pPr>
        <w:spacing w:line="560" w:lineRule="exact"/>
        <w:ind w:firstLine="640" w:firstLineChars="200"/>
        <w:rPr>
          <w:rFonts w:hint="eastAsia" w:ascii="仿宋_GB2312" w:hAnsi="仿宋_GB2312" w:eastAsia="仿宋_GB2312" w:cs="仿宋_GB2312"/>
          <w:sz w:val="32"/>
          <w:szCs w:val="32"/>
        </w:rPr>
      </w:pPr>
    </w:p>
    <w:p w14:paraId="46EBF0A0">
      <w:pPr>
        <w:spacing w:line="560" w:lineRule="exact"/>
        <w:ind w:firstLine="640" w:firstLineChars="200"/>
        <w:rPr>
          <w:rFonts w:hint="eastAsia" w:ascii="仿宋_GB2312" w:hAnsi="仿宋_GB2312" w:eastAsia="仿宋_GB2312" w:cs="仿宋_GB2312"/>
          <w:sz w:val="32"/>
          <w:szCs w:val="32"/>
        </w:rPr>
      </w:pPr>
    </w:p>
    <w:p w14:paraId="6C80C101">
      <w:pPr>
        <w:pStyle w:val="5"/>
        <w:spacing w:before="0" w:line="437" w:lineRule="exact"/>
        <w:ind w:left="0" w:right="260"/>
        <w:jc w:val="right"/>
        <w:rPr>
          <w:rFonts w:hint="eastAsia" w:ascii="仿宋_GB2312" w:hAnsi="仿宋_GB2312" w:eastAsia="仿宋_GB2312" w:cs="仿宋_GB2312"/>
          <w:sz w:val="32"/>
          <w:szCs w:val="32"/>
        </w:rPr>
      </w:pPr>
    </w:p>
    <w:p w14:paraId="04F09EC6">
      <w:pPr>
        <w:pStyle w:val="5"/>
        <w:spacing w:before="0" w:line="437" w:lineRule="exact"/>
        <w:ind w:left="0" w:right="260"/>
        <w:jc w:val="right"/>
        <w:rPr>
          <w:rFonts w:hint="eastAsia" w:ascii="仿宋_GB2312" w:hAnsi="仿宋_GB2312" w:eastAsia="仿宋_GB2312" w:cs="仿宋_GB2312"/>
          <w:sz w:val="32"/>
          <w:szCs w:val="32"/>
        </w:rPr>
      </w:pPr>
    </w:p>
    <w:p w14:paraId="2E72DDC4">
      <w:pPr>
        <w:pStyle w:val="5"/>
        <w:spacing w:before="0" w:line="437"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14:paraId="6D51B716">
      <w:pPr>
        <w:spacing w:line="560" w:lineRule="exact"/>
        <w:ind w:firstLine="640" w:firstLineChars="200"/>
        <w:jc w:val="center"/>
        <w:rPr>
          <w:rFonts w:eastAsia="仿宋_GB2312"/>
          <w:sz w:val="32"/>
        </w:rPr>
      </w:pPr>
      <w:r>
        <w:rPr>
          <w:rFonts w:hint="eastAsia" w:eastAsia="仿宋_GB2312"/>
          <w:sz w:val="32"/>
        </w:rPr>
        <w:t xml:space="preserve">             </w:t>
      </w:r>
      <w:r>
        <w:rPr>
          <w:rFonts w:hint="eastAsia" w:eastAsia="仿宋_GB2312"/>
          <w:sz w:val="32"/>
          <w:lang w:val="en-US" w:eastAsia="zh-CN"/>
        </w:rPr>
        <w:t xml:space="preserve">                       </w:t>
      </w:r>
      <w:r>
        <w:rPr>
          <w:rFonts w:hint="eastAsia" w:eastAsia="仿宋_GB2312"/>
          <w:sz w:val="32"/>
        </w:rPr>
        <w:t xml:space="preserve">         </w:t>
      </w:r>
      <w:r>
        <w:rPr>
          <w:rFonts w:hint="eastAsia" w:eastAsia="仿宋_GB2312"/>
          <w:sz w:val="32"/>
          <w:lang w:val="en-US" w:eastAsia="zh-CN"/>
        </w:rPr>
        <w:t>2025</w:t>
      </w:r>
      <w:r>
        <w:rPr>
          <w:rFonts w:hint="eastAsia" w:eastAsia="仿宋_GB2312"/>
          <w:sz w:val="32"/>
        </w:rPr>
        <w:t xml:space="preserve"> </w:t>
      </w:r>
      <w:r>
        <w:rPr>
          <w:rFonts w:eastAsia="仿宋_GB2312"/>
          <w:sz w:val="32"/>
        </w:rPr>
        <w:t>年</w:t>
      </w:r>
      <w:r>
        <w:rPr>
          <w:rFonts w:hint="eastAsia" w:eastAsia="仿宋_GB2312"/>
          <w:sz w:val="32"/>
        </w:rPr>
        <w:t xml:space="preserve"> </w:t>
      </w:r>
      <w:r>
        <w:rPr>
          <w:rFonts w:hint="eastAsia" w:eastAsia="仿宋_GB2312"/>
          <w:sz w:val="32"/>
          <w:lang w:val="en-US" w:eastAsia="zh-CN"/>
        </w:rPr>
        <w:t>6</w:t>
      </w:r>
      <w:r>
        <w:rPr>
          <w:rFonts w:eastAsia="仿宋_GB2312"/>
          <w:sz w:val="32"/>
        </w:rPr>
        <w:t>月</w:t>
      </w:r>
      <w:r>
        <w:rPr>
          <w:rFonts w:hint="eastAsia" w:eastAsia="仿宋_GB2312"/>
          <w:sz w:val="32"/>
          <w:lang w:val="en-US" w:eastAsia="zh-CN"/>
        </w:rPr>
        <w:t>25</w:t>
      </w:r>
      <w:bookmarkStart w:id="0" w:name="_GoBack"/>
      <w:bookmarkEnd w:id="0"/>
      <w:r>
        <w:rPr>
          <w:rFonts w:eastAsia="仿宋_GB2312"/>
          <w:sz w:val="32"/>
        </w:rPr>
        <w:t>日</w:t>
      </w:r>
    </w:p>
    <w:p w14:paraId="76397E1A">
      <w:pPr>
        <w:pStyle w:val="5"/>
        <w:spacing w:line="240" w:lineRule="auto"/>
        <w:ind w:left="0" w:right="260"/>
        <w:jc w:val="center"/>
        <w:rPr>
          <w:rFonts w:hint="default" w:ascii="Times New Roman" w:hAnsi="Times New Roman" w:eastAsia="仿宋_GB2312" w:cs="Times New Roman"/>
          <w:sz w:val="32"/>
          <w:szCs w:val="32"/>
        </w:rPr>
      </w:pPr>
    </w:p>
    <w:sectPr>
      <w:footerReference r:id="rId5" w:type="default"/>
      <w:pgSz w:w="11910" w:h="16840"/>
      <w:pgMar w:top="1520" w:right="154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579C2A-D39A-446C-B1EA-AD5559409B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17F014D-B1C1-47EF-975B-460529AD9991}"/>
  </w:font>
  <w:font w:name="Adobe 黑体 Std R">
    <w:altName w:val="黑体"/>
    <w:panose1 w:val="020B0400000000000000"/>
    <w:charset w:val="80"/>
    <w:family w:val="swiss"/>
    <w:pitch w:val="default"/>
    <w:sig w:usb0="00000000" w:usb1="00000000" w:usb2="00000016" w:usb3="00000000" w:csb0="00060007" w:csb1="00000000"/>
    <w:embedRegular r:id="rId3" w:fontKey="{50D4E01F-44DE-413B-B1E3-24D9DB1959E6}"/>
  </w:font>
  <w:font w:name="方正小标宋简体">
    <w:panose1 w:val="02010600010101010101"/>
    <w:charset w:val="86"/>
    <w:family w:val="auto"/>
    <w:pitch w:val="default"/>
    <w:sig w:usb0="00000001" w:usb1="080E0000" w:usb2="00000000" w:usb3="00000000" w:csb0="00040000" w:csb1="00000000"/>
    <w:embedRegular r:id="rId4" w:fontKey="{88DC0119-C126-4226-8CBA-FD8769F3AF8E}"/>
  </w:font>
  <w:font w:name="仿宋_GB2312">
    <w:panose1 w:val="02010609030101010101"/>
    <w:charset w:val="86"/>
    <w:family w:val="auto"/>
    <w:pitch w:val="default"/>
    <w:sig w:usb0="00000001" w:usb1="080E0000" w:usb2="00000000" w:usb3="00000000" w:csb0="00040000" w:csb1="00000000"/>
    <w:embedRegular r:id="rId5" w:fontKey="{82619B2A-A491-4DDA-9C5F-B031AD0EA15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F7BA">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9935845</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56D04E9">
                          <w:pPr>
                            <w:spacing w:before="0" w:line="203" w:lineRule="exact"/>
                            <w:ind w:left="40" w:right="0" w:firstLine="0"/>
                            <w:jc w:val="left"/>
                            <w:rPr>
                              <w:rFonts w:ascii="Calibri" w:hAnsi="Calibri" w:eastAsia="Calibri" w:cs="Calibri"/>
                              <w:sz w:val="18"/>
                              <w:szCs w:val="18"/>
                            </w:rPr>
                          </w:pPr>
                        </w:p>
                      </w:txbxContent>
                    </wps:txbx>
                    <wps:bodyPr lIns="0" tIns="0" rIns="0" bIns="0" upright="1"/>
                  </wps:wsp>
                </a:graphicData>
              </a:graphic>
            </wp:anchor>
          </w:drawing>
        </mc:Choice>
        <mc:Fallback>
          <w:pict>
            <v:shape id="文本框 1025" o:spid="_x0000_s1026" o:spt="202" type="#_x0000_t202" style="position:absolute;left:0pt;margin-left:291pt;margin-top:782.35pt;height:11pt;width:13.15pt;mso-position-horizontal-relative:page;mso-position-vertical-relative:page;z-index:-251657216;mso-width-relative:page;mso-height-relative:page;" filled="f" stroked="f" coordsize="21600,21600" o:gfxdata="UEsDBAoAAAAAAIdO4kAAAAAAAAAAAAAAAAAEAAAAZHJzL1BLAwQUAAAACACHTuJAba41XNsAAAAN&#10;AQAADwAAAGRycy9kb3ducmV2LnhtbE2PzU7DMBCE70i8g7VI3KjdQt0Q4lQIwQkJkYYDRyd2E6vx&#10;OsTuD2/P9lSOOzOa/aZYn/zADnaKLqCC+UwAs9gG47BT8FW/3WXAYtJo9BDQKvi1Edbl9VWhcxOO&#10;WNnDJnWMSjDmWkGf0phzHtveeh1nYbRI3jZMXic6p46bSR+p3A98IYTkXjukD70e7Utv291m7xU8&#10;f2P16n4+ms9qW7m6fhT4LndK3d7MxROwZE/pEoYzPqFDSUxN2KOJbFCwzBa0JZGxlA8rYBSRIrsH&#10;1pylTK6AlwX/v6L8A1BLAwQUAAAACACHTuJAJuv/G7sBAAB0AwAADgAAAGRycy9lMm9Eb2MueG1s&#10;rVNLbtswEN0X6B0I7mvKLpI2guUAhZEgQNEWSHIAmiItAvxhSFvyBdobdNVN9z2Xz9EhJTttusmi&#10;G2o4M3zz3iO1vB6sIXsJUXvX0PmsokQ64Vvttg19fLh5856SmLhrufFONvQgI71evX617EMtF77z&#10;ppVAEMTFug8N7VIKNWNRdNLyOPNBOiwqD5Yn3MKWtcB7RLeGLarqkvUe2gBeyBgxux6LdEKElwB6&#10;pbSQay92Vro0ooI0PKGk2OkQ6aqwVUqK9FmpKBMxDUWlqaw4BONNXtlqyest8NBpMVHgL6HwTJPl&#10;2uHQM9SaJ052oP+BslqAj16lmfCWjUKKI6hiXj3z5r7jQRYtaHUMZ9Pj/4MVn/ZfgOgWXwIljlu8&#10;8OP3b8cfv44/v5J5tbjIDvUh1th4H7A1DR/8kLunfMRkFj4osPmLkgjW0d/D2V85JCLyoct3VXVB&#10;icDS/O0VbjIKezocIKZb6S3JQUMBr6+4yvcfYxpbTy15lvM32hjM89q4vxKImTMsMx8Z5igNm2Gi&#10;vfHtAdWYO4dm5odxCuAUbE7BLoDedkinaC6QeBmF9/Rw8m3/uS+Dn36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rjVc2wAAAA0BAAAPAAAAAAAAAAEAIAAAACIAAABkcnMvZG93bnJldi54bWxQ&#10;SwECFAAUAAAACACHTuJAJuv/G7sBAAB0AwAADgAAAAAAAAABACAAAAAqAQAAZHJzL2Uyb0RvYy54&#10;bWxQSwUGAAAAAAYABgBZAQAAVwUAAAAA&#10;">
              <v:fill on="f" focussize="0,0"/>
              <v:stroke on="f"/>
              <v:imagedata o:title=""/>
              <o:lock v:ext="edit" aspectratio="f"/>
              <v:textbox inset="0mm,0mm,0mm,0mm">
                <w:txbxContent>
                  <w:p w14:paraId="756D04E9">
                    <w:pPr>
                      <w:spacing w:before="0" w:line="203" w:lineRule="exact"/>
                      <w:ind w:left="40" w:right="0" w:firstLine="0"/>
                      <w:jc w:val="left"/>
                      <w:rPr>
                        <w:rFonts w:ascii="Calibri" w:hAnsi="Calibri" w:eastAsia="Calibri" w:cs="Calibri"/>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239B1"/>
    <w:rsid w:val="022A33E1"/>
    <w:rsid w:val="04654DC4"/>
    <w:rsid w:val="0822151D"/>
    <w:rsid w:val="08682950"/>
    <w:rsid w:val="08D87341"/>
    <w:rsid w:val="0BC12118"/>
    <w:rsid w:val="0C06415D"/>
    <w:rsid w:val="0C890300"/>
    <w:rsid w:val="0CA81797"/>
    <w:rsid w:val="0D15548D"/>
    <w:rsid w:val="0D5A4B28"/>
    <w:rsid w:val="0D630F89"/>
    <w:rsid w:val="0E83368C"/>
    <w:rsid w:val="14BF6E04"/>
    <w:rsid w:val="161B7A15"/>
    <w:rsid w:val="162B00EE"/>
    <w:rsid w:val="168D6671"/>
    <w:rsid w:val="16E50DE0"/>
    <w:rsid w:val="1945654C"/>
    <w:rsid w:val="19977D8A"/>
    <w:rsid w:val="1E1C0B0D"/>
    <w:rsid w:val="1FB94A9C"/>
    <w:rsid w:val="219E39B8"/>
    <w:rsid w:val="25477C36"/>
    <w:rsid w:val="29C73F17"/>
    <w:rsid w:val="2BE439BC"/>
    <w:rsid w:val="2F2F33BB"/>
    <w:rsid w:val="30DF0B3D"/>
    <w:rsid w:val="33085EB0"/>
    <w:rsid w:val="340F7DD6"/>
    <w:rsid w:val="34394804"/>
    <w:rsid w:val="34CC172C"/>
    <w:rsid w:val="38C27C00"/>
    <w:rsid w:val="39A42B0C"/>
    <w:rsid w:val="3B8E0546"/>
    <w:rsid w:val="3D4536F5"/>
    <w:rsid w:val="46753A21"/>
    <w:rsid w:val="47EA5951"/>
    <w:rsid w:val="48F549A5"/>
    <w:rsid w:val="49F42350"/>
    <w:rsid w:val="4C733B7F"/>
    <w:rsid w:val="4EB91898"/>
    <w:rsid w:val="4FDC68BF"/>
    <w:rsid w:val="505F6CEB"/>
    <w:rsid w:val="513277F8"/>
    <w:rsid w:val="54382FF3"/>
    <w:rsid w:val="54E02594"/>
    <w:rsid w:val="58EE31BF"/>
    <w:rsid w:val="5AF63665"/>
    <w:rsid w:val="5C6B4307"/>
    <w:rsid w:val="5EF369C2"/>
    <w:rsid w:val="5F7D66C9"/>
    <w:rsid w:val="60025ECE"/>
    <w:rsid w:val="60ED7905"/>
    <w:rsid w:val="611D2B5E"/>
    <w:rsid w:val="63714235"/>
    <w:rsid w:val="647B0923"/>
    <w:rsid w:val="6488303F"/>
    <w:rsid w:val="64ED2421"/>
    <w:rsid w:val="671A7149"/>
    <w:rsid w:val="676E5BF7"/>
    <w:rsid w:val="6DB30687"/>
    <w:rsid w:val="6F8C3791"/>
    <w:rsid w:val="6FA843A6"/>
    <w:rsid w:val="708E5910"/>
    <w:rsid w:val="74471CA9"/>
    <w:rsid w:val="747B57C1"/>
    <w:rsid w:val="75B44CF4"/>
    <w:rsid w:val="768B3F84"/>
    <w:rsid w:val="76910A96"/>
    <w:rsid w:val="78EA6370"/>
    <w:rsid w:val="7D5135A2"/>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widowControl w:val="0"/>
      <w:ind w:firstLine="420" w:firstLineChars="200"/>
    </w:pPr>
    <w:rPr>
      <w:sz w:val="24"/>
    </w:r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1318</Words>
  <Characters>1378</Characters>
  <TotalTime>11</TotalTime>
  <ScaleCrop>false</ScaleCrop>
  <LinksUpToDate>false</LinksUpToDate>
  <CharactersWithSpaces>1430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黃儀</cp:lastModifiedBy>
  <cp:lastPrinted>2024-12-02T08:00:00Z</cp:lastPrinted>
  <dcterms:modified xsi:type="dcterms:W3CDTF">2025-07-01T01:42:57Z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2052-12.1.0.21541</vt:lpwstr>
  </property>
  <property fmtid="{D5CDD505-2E9C-101B-9397-08002B2CF9AE}" pid="6" name="ICV">
    <vt:lpwstr>013B0CECBC824E608F6C9C1C8DD21040_13</vt:lpwstr>
  </property>
  <property fmtid="{D5CDD505-2E9C-101B-9397-08002B2CF9AE}" pid="7" name="KSOTemplateDocerSaveRecord">
    <vt:lpwstr>eyJoZGlkIjoiMmZjOWMwZGU0YjA0ODk5ODYzMzdhNWI5ZWU0ZDkzYTMiLCJ1c2VySWQiOiIzMjIwNTc3MDIifQ==</vt:lpwstr>
  </property>
</Properties>
</file>