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4F28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p>
    <w:p w14:paraId="0042854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p>
    <w:p w14:paraId="26A4CEB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p>
    <w:p w14:paraId="266A5BF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关于广州市花都区2024年度第八十批次城镇建设用地（珠三角城际轨道交通广佛环线</w:t>
      </w:r>
    </w:p>
    <w:p w14:paraId="669EBAE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佛山西站至广州北站段项目</w:t>
      </w:r>
    </w:p>
    <w:p w14:paraId="7E04747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〔花都区段补充用地〕）</w:t>
      </w:r>
    </w:p>
    <w:p w14:paraId="05F4BA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征地补偿安置方案</w:t>
      </w:r>
    </w:p>
    <w:p w14:paraId="1898336F">
      <w:pPr>
        <w:spacing w:before="7"/>
        <w:rPr>
          <w:rFonts w:hint="eastAsia" w:ascii="Adobe 黑体 Std R" w:hAnsi="Adobe 黑体 Std R" w:eastAsia="Adobe 黑体 Std R" w:cs="Adobe 黑体 Std R"/>
          <w:sz w:val="34"/>
          <w:szCs w:val="34"/>
          <w:lang w:eastAsia="zh-CN"/>
        </w:rPr>
      </w:pPr>
    </w:p>
    <w:p w14:paraId="21F9FB4C">
      <w:pPr>
        <w:pStyle w:val="5"/>
        <w:wordWrap w:val="0"/>
        <w:spacing w:before="0" w:line="560" w:lineRule="exact"/>
        <w:ind w:left="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炭步</w:t>
      </w:r>
      <w:r>
        <w:rPr>
          <w:rFonts w:hint="eastAsia" w:ascii="仿宋_GB2312" w:hAnsi="仿宋_GB2312" w:eastAsia="仿宋_GB2312" w:cs="仿宋_GB2312"/>
          <w:lang w:eastAsia="zh-CN"/>
        </w:rPr>
        <w:t>镇建设规划，完善城市功</w:t>
      </w:r>
      <w:r>
        <w:rPr>
          <w:rFonts w:hint="eastAsia" w:ascii="仿宋_GB2312" w:hAnsi="仿宋_GB2312" w:eastAsia="仿宋_GB2312" w:cs="仿宋_GB2312"/>
          <w:spacing w:val="6"/>
          <w:lang w:eastAsia="zh-CN"/>
        </w:rPr>
        <w:t>能，改善城市环境，促进经济、文化发展，广州市</w:t>
      </w:r>
      <w:r>
        <w:rPr>
          <w:rFonts w:hint="eastAsia" w:ascii="仿宋_GB2312" w:hAnsi="仿宋_GB2312" w:eastAsia="仿宋_GB2312" w:cs="仿宋_GB2312"/>
          <w:lang w:eastAsia="zh-CN"/>
        </w:rPr>
        <w:t>花都区人民政府拟征收该区炭步镇红峰第五经济合作社，石南第五经</w:t>
      </w:r>
      <w:r>
        <w:rPr>
          <w:rFonts w:hint="eastAsia" w:ascii="仿宋_GB2312" w:hAnsi="仿宋_GB2312" w:eastAsia="仿宋_GB2312" w:cs="仿宋_GB2312"/>
          <w:spacing w:val="6"/>
          <w:lang w:eastAsia="zh-CN"/>
        </w:rPr>
        <w:t>济合作社、第七经济合作社属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0.8795</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0E2A6183">
      <w:pPr>
        <w:pStyle w:val="5"/>
        <w:spacing w:before="0" w:line="560" w:lineRule="exact"/>
        <w:ind w:left="0" w:firstLine="640" w:firstLineChars="200"/>
        <w:jc w:val="both"/>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一、征收范围</w:t>
      </w:r>
    </w:p>
    <w:p w14:paraId="0BD93622">
      <w:pPr>
        <w:spacing w:line="56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hint="eastAsia" w:ascii="Times New Roman" w:hAnsi="Times New Roman" w:eastAsia="仿宋_GB2312" w:cs="Times New Roman"/>
          <w:sz w:val="32"/>
          <w:szCs w:val="32"/>
          <w:lang w:eastAsia="zh-CN"/>
        </w:rPr>
        <w:t>炭步镇红峰第五经济合作社，石南第五经济合作社、第七经济合作社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26FE743F">
      <w:pPr>
        <w:pStyle w:val="5"/>
        <w:spacing w:before="0" w:line="560" w:lineRule="exact"/>
        <w:ind w:left="0" w:firstLine="640" w:firstLineChars="200"/>
        <w:jc w:val="both"/>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二、征收目的</w:t>
      </w:r>
    </w:p>
    <w:p w14:paraId="0ABE49B7">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411EA721">
      <w:pPr>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三、土地现状</w:t>
      </w:r>
    </w:p>
    <w:p w14:paraId="4FFE78ED">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071F110">
      <w:pPr>
        <w:numPr>
          <w:ilvl w:val="0"/>
          <w:numId w:val="0"/>
        </w:num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拟征收广州市花都区炭步镇红峰第五经济合作社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炭步镇石南第五经济合作社、第七经济合作社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eastAsia="zh-CN"/>
        </w:rPr>
        <w:t>0.</w:t>
      </w:r>
      <w:r>
        <w:rPr>
          <w:rFonts w:hint="eastAsia" w:ascii="Times New Roman" w:hAnsi="Times New Roman" w:eastAsia="仿宋_GB2312" w:cs="Times New Roman"/>
          <w:sz w:val="32"/>
          <w:szCs w:val="32"/>
          <w:lang w:val="en-US" w:eastAsia="zh-CN"/>
        </w:rPr>
        <w:t>8795</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13.1925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，均为</w:t>
      </w:r>
      <w:r>
        <w:rPr>
          <w:rFonts w:ascii="Times New Roman" w:hAnsi="Times New Roman" w:eastAsia="仿宋_GB2312" w:cs="Times New Roman"/>
          <w:sz w:val="32"/>
          <w:szCs w:val="32"/>
          <w:lang w:eastAsia="zh-CN"/>
        </w:rPr>
        <w:t>农用地，</w:t>
      </w:r>
      <w:r>
        <w:rPr>
          <w:rFonts w:hint="eastAsia" w:ascii="Times New Roman" w:hAnsi="Times New Roman" w:eastAsia="仿宋_GB2312" w:cs="Times New Roman"/>
          <w:sz w:val="32"/>
          <w:szCs w:val="32"/>
          <w:lang w:val="en-US" w:eastAsia="zh-CN"/>
        </w:rPr>
        <w:t>均为</w:t>
      </w:r>
      <w:r>
        <w:rPr>
          <w:rFonts w:ascii="Times New Roman" w:hAnsi="Times New Roman" w:eastAsia="仿宋_GB2312" w:cs="Times New Roman"/>
          <w:sz w:val="32"/>
          <w:szCs w:val="32"/>
          <w:lang w:eastAsia="zh-CN"/>
        </w:rPr>
        <w:t>耕地；</w:t>
      </w:r>
      <w:r>
        <w:rPr>
          <w:rFonts w:hint="eastAsia" w:ascii="Times New Roman" w:hAnsi="Times New Roman" w:eastAsia="仿宋_GB2312" w:cs="Times New Roman"/>
          <w:sz w:val="32"/>
          <w:szCs w:val="32"/>
          <w:lang w:val="en-US" w:eastAsia="zh-CN"/>
        </w:rPr>
        <w:t>不涉及</w:t>
      </w:r>
      <w:r>
        <w:rPr>
          <w:rFonts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ascii="Times New Roman" w:hAnsi="Times New Roman" w:eastAsia="仿宋_GB2312" w:cs="Times New Roman"/>
          <w:sz w:val="32"/>
          <w:szCs w:val="32"/>
          <w:lang w:eastAsia="zh-CN"/>
        </w:rPr>
        <w:t>。</w:t>
      </w:r>
    </w:p>
    <w:p w14:paraId="700FF37E">
      <w:pPr>
        <w:numPr>
          <w:ilvl w:val="255"/>
          <w:numId w:val="0"/>
        </w:numPr>
        <w:spacing w:line="550" w:lineRule="exact"/>
        <w:ind w:firstLine="640" w:firstLineChars="200"/>
        <w:jc w:val="both"/>
        <w:rPr>
          <w:rFonts w:hint="eastAsia" w:ascii="黑体" w:hAnsi="黑体" w:eastAsia="黑体" w:cs="黑体"/>
          <w:kern w:val="2"/>
          <w:sz w:val="32"/>
          <w:szCs w:val="32"/>
          <w:lang w:eastAsia="zh-CN"/>
        </w:rPr>
      </w:pPr>
      <w:r>
        <w:rPr>
          <w:rFonts w:hint="eastAsia" w:ascii="黑体" w:hAnsi="黑体" w:eastAsia="黑体" w:cs="黑体"/>
          <w:kern w:val="2"/>
          <w:sz w:val="32"/>
          <w:szCs w:val="32"/>
          <w:lang w:eastAsia="zh-CN"/>
        </w:rPr>
        <w:t>四、补偿方式和标准</w:t>
      </w:r>
    </w:p>
    <w:p w14:paraId="2EFD0BFB">
      <w:pPr>
        <w:numPr>
          <w:ilvl w:val="255"/>
          <w:numId w:val="0"/>
        </w:numPr>
        <w:spacing w:line="550" w:lineRule="exact"/>
        <w:ind w:firstLine="640" w:firstLineChars="200"/>
        <w:jc w:val="both"/>
        <w:rPr>
          <w:rFonts w:hint="eastAsia" w:ascii="Times New Roman" w:hAnsi="Times New Roman" w:eastAsia="仿宋_GB2312" w:cs="Times New Roman"/>
          <w:kern w:val="2"/>
          <w:sz w:val="32"/>
          <w:szCs w:val="32"/>
          <w:lang w:eastAsia="zh-CN"/>
        </w:rPr>
      </w:pPr>
      <w:r>
        <w:rPr>
          <w:rFonts w:hint="eastAsia" w:ascii="Times New Roman" w:hAnsi="Times New Roman" w:eastAsia="楷体" w:cs="Times New Roman"/>
          <w:sz w:val="32"/>
          <w:szCs w:val="32"/>
          <w:lang w:eastAsia="zh-CN"/>
        </w:rPr>
        <w:t>（一）土地补偿费和安置补助费标准。</w:t>
      </w:r>
    </w:p>
    <w:p w14:paraId="3CC1628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根据《广东省自然资源厅关于广州市征收农用地区片综合地价成果的批复》（粤自然资函〔2024〕103号）</w:t>
      </w:r>
      <w:r>
        <w:rPr>
          <w:rFonts w:hint="eastAsia" w:ascii="Times New Roman" w:hAnsi="Times New Roman" w:eastAsia="仿宋_GB2312" w:cs="Times New Roman"/>
          <w:sz w:val="32"/>
          <w:szCs w:val="32"/>
          <w:lang w:val="en-US" w:eastAsia="zh-CN"/>
        </w:rPr>
        <w:t>的规定</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82.5万元/公顷，安置补助标准为82.5万元/公顷</w:t>
      </w:r>
      <w:r>
        <w:rPr>
          <w:rFonts w:hint="eastAsia" w:ascii="Times New Roman" w:hAnsi="Times New Roman" w:eastAsia="仿宋_GB2312" w:cs="Times New Roman"/>
          <w:sz w:val="32"/>
          <w:szCs w:val="32"/>
        </w:rPr>
        <w:t>。</w:t>
      </w:r>
    </w:p>
    <w:p w14:paraId="61EE3779">
      <w:pPr>
        <w:numPr>
          <w:ilvl w:val="255"/>
          <w:numId w:val="0"/>
        </w:numPr>
        <w:spacing w:line="550" w:lineRule="exact"/>
        <w:ind w:firstLine="640" w:firstLineChars="200"/>
        <w:jc w:val="both"/>
        <w:rPr>
          <w:rFonts w:hint="eastAsia" w:ascii="Times New Roman" w:hAnsi="Times New Roman" w:eastAsia="楷体" w:cs="Times New Roman"/>
          <w:sz w:val="32"/>
          <w:szCs w:val="32"/>
          <w:lang w:eastAsia="zh-CN"/>
        </w:rPr>
      </w:pPr>
      <w:r>
        <w:rPr>
          <w:rFonts w:hint="eastAsia" w:ascii="Times New Roman" w:hAnsi="Times New Roman" w:eastAsia="楷体" w:cs="Times New Roman"/>
          <w:sz w:val="32"/>
          <w:szCs w:val="32"/>
          <w:lang w:eastAsia="zh-CN"/>
        </w:rPr>
        <w:t>（二）农村村民住宅补偿。</w:t>
      </w:r>
    </w:p>
    <w:p w14:paraId="0AD31A04">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bCs/>
          <w:kern w:val="2"/>
          <w:sz w:val="32"/>
          <w:szCs w:val="32"/>
          <w:lang w:eastAsia="zh-CN"/>
        </w:rPr>
        <w:t>补偿。</w:t>
      </w:r>
    </w:p>
    <w:p w14:paraId="5F99C4FF">
      <w:pPr>
        <w:numPr>
          <w:ilvl w:val="255"/>
          <w:numId w:val="0"/>
        </w:numPr>
        <w:spacing w:line="550" w:lineRule="exact"/>
        <w:ind w:firstLine="640" w:firstLineChars="200"/>
        <w:jc w:val="both"/>
        <w:rPr>
          <w:rFonts w:hint="eastAsia" w:ascii="Times New Roman" w:hAnsi="Times New Roman" w:eastAsia="楷体" w:cs="Times New Roman"/>
          <w:sz w:val="32"/>
          <w:szCs w:val="32"/>
          <w:lang w:eastAsia="zh-CN"/>
        </w:rPr>
      </w:pPr>
      <w:r>
        <w:rPr>
          <w:rFonts w:hint="eastAsia" w:ascii="Times New Roman" w:hAnsi="Times New Roman" w:eastAsia="楷体" w:cs="Times New Roman"/>
          <w:sz w:val="32"/>
          <w:szCs w:val="32"/>
          <w:lang w:eastAsia="zh-CN"/>
        </w:rPr>
        <w:t>（</w:t>
      </w:r>
      <w:r>
        <w:rPr>
          <w:rFonts w:hint="eastAsia" w:ascii="Times New Roman" w:hAnsi="Times New Roman" w:eastAsia="楷体" w:cs="Times New Roman"/>
          <w:sz w:val="32"/>
          <w:szCs w:val="32"/>
          <w:lang w:val="en-US" w:eastAsia="zh-CN"/>
        </w:rPr>
        <w:t>三</w:t>
      </w:r>
      <w:r>
        <w:rPr>
          <w:rFonts w:hint="eastAsia" w:ascii="Times New Roman" w:hAnsi="Times New Roman" w:eastAsia="楷体" w:cs="Times New Roman"/>
          <w:sz w:val="32"/>
          <w:szCs w:val="32"/>
          <w:lang w:eastAsia="zh-CN"/>
        </w:rPr>
        <w:t>）青苗及其他地上附着物补偿。</w:t>
      </w:r>
    </w:p>
    <w:p w14:paraId="292757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highlight w:val="green"/>
          <w:lang w:eastAsia="zh-CN"/>
        </w:rPr>
      </w:pPr>
      <w:r>
        <w:rPr>
          <w:rFonts w:hint="eastAsia" w:ascii="Times New Roman" w:hAnsi="Times New Roman" w:eastAsia="仿宋_GB2312" w:cs="Times New Roman"/>
          <w:sz w:val="32"/>
          <w:szCs w:val="32"/>
          <w:lang w:val="en-US" w:eastAsia="zh-CN"/>
        </w:rPr>
        <w:t>青苗补偿及其他地上附着物参照《广州市花都区人民政府办公室印发花都区片区征地包干补偿工作方案的通知》（花府办〔2016〕12号）的规定执行。</w:t>
      </w:r>
    </w:p>
    <w:p w14:paraId="655AACE2">
      <w:pPr>
        <w:pStyle w:val="5"/>
        <w:spacing w:before="0" w:line="560" w:lineRule="exact"/>
        <w:ind w:left="0" w:firstLine="640" w:firstLineChars="200"/>
        <w:jc w:val="both"/>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五、安置对象</w:t>
      </w:r>
    </w:p>
    <w:p w14:paraId="0B110DE0">
      <w:pPr>
        <w:spacing w:line="560" w:lineRule="exact"/>
        <w:ind w:firstLine="640" w:firstLineChars="200"/>
        <w:jc w:val="both"/>
        <w:rPr>
          <w:rFonts w:ascii="Times New Roman" w:hAnsi="Times New Roman" w:eastAsia="仿宋_GB2312" w:cs="Times New Roman"/>
          <w:sz w:val="32"/>
          <w:szCs w:val="32"/>
          <w:lang w:eastAsia="zh-CN"/>
        </w:rPr>
      </w:pPr>
      <w:r>
        <w:rPr>
          <w:rFonts w:hint="default" w:ascii="Times New Roman" w:hAnsi="Times New Roman" w:eastAsia="仿宋_GB231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sz w:val="32"/>
          <w:szCs w:val="32"/>
          <w:lang w:eastAsia="zh-CN"/>
        </w:rPr>
        <w:t>保</w:t>
      </w:r>
      <w:r>
        <w:rPr>
          <w:rFonts w:hint="default" w:ascii="Times New Roman" w:hAnsi="Times New Roman" w:eastAsia="仿宋_GB2312"/>
          <w:sz w:val="32"/>
          <w:szCs w:val="32"/>
        </w:rPr>
        <w:t>障。安置补助费由区人民政府按规定支付给土地所有权人，由农村财务管理部门按照省、市农村集体资产管理相关规定管理和使用。</w:t>
      </w:r>
    </w:p>
    <w:p w14:paraId="464F15E4">
      <w:pPr>
        <w:pStyle w:val="5"/>
        <w:spacing w:before="0" w:line="560" w:lineRule="exact"/>
        <w:ind w:left="0" w:firstLine="640" w:firstLineChars="200"/>
        <w:jc w:val="both"/>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楷体" w:cs="Times New Roman"/>
          <w:sz w:val="32"/>
          <w:szCs w:val="32"/>
          <w:lang w:eastAsia="zh-CN"/>
        </w:rPr>
        <w:t>（一）货币安置。</w:t>
      </w:r>
      <w:r>
        <w:rPr>
          <w:rFonts w:hint="default" w:ascii="Times New Roman" w:hAnsi="Times New Roman" w:eastAsia="仿宋_GB2312" w:cs="Times New Roman"/>
          <w:sz w:val="32"/>
          <w:szCs w:val="32"/>
        </w:rPr>
        <w:t>所需费用已包含在</w:t>
      </w:r>
      <w:r>
        <w:rPr>
          <w:rFonts w:hint="eastAsia"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382EDA00">
      <w:pPr>
        <w:spacing w:line="560" w:lineRule="exact"/>
        <w:ind w:firstLine="640" w:firstLineChars="200"/>
        <w:jc w:val="both"/>
        <w:rPr>
          <w:rFonts w:ascii="Times New Roman" w:hAnsi="Times New Roman" w:eastAsia="仿宋_GB2312" w:cs="Times New Roman"/>
          <w:sz w:val="32"/>
          <w:szCs w:val="32"/>
          <w:highlight w:val="none"/>
          <w:lang w:eastAsia="zh-CN"/>
        </w:rPr>
      </w:pPr>
      <w:r>
        <w:rPr>
          <w:rFonts w:hint="eastAsia" w:ascii="Times New Roman" w:hAnsi="Times New Roman" w:eastAsia="楷体" w:cs="Times New Roman"/>
          <w:sz w:val="32"/>
          <w:szCs w:val="32"/>
          <w:lang w:eastAsia="zh-CN"/>
        </w:rPr>
        <w:t>（二）留用地安置。</w:t>
      </w:r>
      <w:r>
        <w:rPr>
          <w:rFonts w:ascii="Times New Roman" w:hAnsi="Times New Roman" w:eastAsia="仿宋_GB2312" w:cs="Times New Roman"/>
          <w:sz w:val="32"/>
          <w:szCs w:val="32"/>
          <w:lang w:eastAsia="zh-CN"/>
        </w:rPr>
        <w:t>根据《广东省人民政府办公厅关于加强征收农村集体土地留用地安置管理工作的意见》（粤府办〔2016〕30号）</w:t>
      </w:r>
      <w:r>
        <w:rPr>
          <w:rFonts w:hint="eastAsia" w:ascii="Times New Roman" w:hAnsi="Times New Roman" w:eastAsia="仿宋_GB2312" w:cs="Times New Roman"/>
          <w:sz w:val="32"/>
          <w:szCs w:val="32"/>
          <w:lang w:val="en-US" w:eastAsia="zh-CN"/>
        </w:rPr>
        <w:t>的规定</w:t>
      </w:r>
      <w:r>
        <w:rPr>
          <w:rFonts w:ascii="Times New Roman" w:hAnsi="Times New Roman" w:eastAsia="仿宋_GB2312" w:cs="Times New Roman"/>
          <w:sz w:val="32"/>
          <w:szCs w:val="32"/>
          <w:lang w:eastAsia="zh-CN"/>
        </w:rPr>
        <w:t>，按实际征收土地面积的10%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highlight w:val="none"/>
          <w:lang w:val="en-US" w:eastAsia="zh-CN"/>
        </w:rPr>
        <w:t>按照实地留地方式安排留用地。</w:t>
      </w:r>
    </w:p>
    <w:p w14:paraId="786DFFB3">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楷体" w:cs="Times New Roman"/>
          <w:sz w:val="32"/>
          <w:szCs w:val="32"/>
          <w:lang w:eastAsia="zh-CN"/>
        </w:rPr>
        <w:t>（三）社会保障费用。</w:t>
      </w:r>
      <w:r>
        <w:rPr>
          <w:rFonts w:hint="eastAsia" w:ascii="Times New Roman" w:hAnsi="Times New Roman" w:eastAsia="仿宋_GB2312" w:cs="Times New Roman"/>
          <w:sz w:val="32"/>
          <w:szCs w:val="32"/>
          <w:lang w:val="en-US" w:eastAsia="zh-CN"/>
        </w:rPr>
        <w:t>该项目征收炭步镇红峰村、石南村土地面积共计13.1925亩，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仿宋_GB2312" w:hAnsi="仿宋_GB2312" w:eastAsia="仿宋_GB2312" w:cs="仿宋_GB2312"/>
          <w:sz w:val="32"/>
          <w:szCs w:val="32"/>
          <w:lang w:eastAsia="zh-CN"/>
        </w:rPr>
        <w:t>核定该项目按</w:t>
      </w:r>
      <w:r>
        <w:rPr>
          <w:rFonts w:hint="eastAsia" w:ascii="Times New Roman" w:hAnsi="Times New Roman" w:eastAsia="仿宋_GB2312" w:cs="Times New Roman"/>
          <w:sz w:val="32"/>
          <w:szCs w:val="32"/>
          <w:lang w:eastAsia="zh-CN"/>
        </w:rPr>
        <w:t>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val="en-US" w:eastAsia="zh-CN"/>
        </w:rPr>
        <w:t>计提征地社保费</w:t>
      </w:r>
      <w:r>
        <w:rPr>
          <w:rFonts w:hint="eastAsia" w:ascii="Times New Roman" w:hAnsi="Times New Roman" w:eastAsia="仿宋_GB2312" w:cs="Times New Roman"/>
          <w:sz w:val="32"/>
          <w:szCs w:val="32"/>
          <w:highlight w:val="none"/>
          <w:lang w:val="en-US" w:eastAsia="zh-CN"/>
        </w:rPr>
        <w:t>28.25</w:t>
      </w:r>
      <w:r>
        <w:rPr>
          <w:rFonts w:hint="eastAsia" w:ascii="Times New Roman" w:hAnsi="Times New Roman" w:eastAsia="仿宋_GB2312" w:cs="Times New Roman"/>
          <w:sz w:val="32"/>
          <w:szCs w:val="32"/>
          <w:lang w:val="en-US" w:eastAsia="zh-CN"/>
        </w:rPr>
        <w:t>万元，预</w:t>
      </w:r>
      <w:r>
        <w:rPr>
          <w:rFonts w:ascii="仿宋_GB2312" w:hAnsi="仿宋_GB2312" w:eastAsia="仿宋_GB2312" w:cs="仿宋_GB2312"/>
          <w:sz w:val="32"/>
          <w:szCs w:val="32"/>
          <w:lang w:eastAsia="zh-CN"/>
        </w:rPr>
        <w:t>存入</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lang w:eastAsia="zh-CN"/>
        </w:rPr>
        <w:t>“收缴被征地农民养老保障资金过渡户”，</w:t>
      </w:r>
      <w:r>
        <w:rPr>
          <w:rFonts w:ascii="Times New Roman" w:hAnsi="Times New Roman" w:eastAsia="仿宋_GB2312" w:cs="Times New Roman"/>
          <w:sz w:val="32"/>
          <w:szCs w:val="32"/>
          <w:lang w:eastAsia="zh-CN"/>
        </w:rPr>
        <w:t>专款用于被征地农民养老</w:t>
      </w:r>
      <w:r>
        <w:rPr>
          <w:rFonts w:hint="eastAsia" w:ascii="Times New Roman" w:hAnsi="Times New Roman" w:eastAsia="仿宋_GB2312" w:cs="Times New Roman"/>
          <w:sz w:val="32"/>
          <w:szCs w:val="32"/>
          <w:lang w:val="en-US" w:eastAsia="zh-CN"/>
        </w:rPr>
        <w:t>保障</w:t>
      </w:r>
      <w:r>
        <w:rPr>
          <w:rFonts w:ascii="Times New Roman" w:hAnsi="Times New Roman" w:eastAsia="仿宋_GB2312" w:cs="Times New Roman"/>
          <w:sz w:val="32"/>
          <w:szCs w:val="32"/>
          <w:lang w:eastAsia="zh-CN"/>
        </w:rPr>
        <w:t>。</w:t>
      </w:r>
    </w:p>
    <w:p w14:paraId="2EF75DBB">
      <w:pPr>
        <w:pStyle w:val="5"/>
        <w:spacing w:before="0" w:line="560" w:lineRule="exact"/>
        <w:ind w:left="0" w:right="261"/>
        <w:jc w:val="right"/>
        <w:rPr>
          <w:rFonts w:hint="eastAsia" w:ascii="仿宋_GB2312" w:hAnsi="仿宋_GB2312" w:eastAsia="仿宋_GB2312" w:cs="仿宋_GB2312"/>
          <w:lang w:eastAsia="zh-CN"/>
        </w:rPr>
      </w:pPr>
    </w:p>
    <w:p w14:paraId="62D39165">
      <w:pPr>
        <w:pStyle w:val="5"/>
        <w:spacing w:before="0" w:line="560" w:lineRule="exact"/>
        <w:ind w:left="0" w:right="261"/>
        <w:jc w:val="right"/>
        <w:rPr>
          <w:rFonts w:hint="eastAsia" w:ascii="仿宋_GB2312" w:hAnsi="仿宋_GB2312" w:eastAsia="仿宋_GB2312" w:cs="仿宋_GB2312"/>
          <w:lang w:eastAsia="zh-CN"/>
        </w:rPr>
      </w:pPr>
    </w:p>
    <w:p w14:paraId="15873073">
      <w:pPr>
        <w:pStyle w:val="5"/>
        <w:spacing w:before="0" w:line="560" w:lineRule="exact"/>
        <w:ind w:left="0" w:right="261"/>
        <w:jc w:val="right"/>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E5A7833">
      <w:pPr>
        <w:pStyle w:val="5"/>
        <w:ind w:left="0" w:right="260"/>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lang w:eastAsia="zh-CN"/>
        </w:rPr>
        <w:t>年</w:t>
      </w:r>
      <w:r>
        <w:rPr>
          <w:rFonts w:hint="eastAsia" w:ascii="Times New Roman" w:hAnsi="Times New Roman" w:eastAsia="仿宋_GB2312" w:cs="Times New Roman"/>
          <w:lang w:val="en-US" w:eastAsia="zh-CN"/>
        </w:rPr>
        <w:t>5</w:t>
      </w:r>
      <w:r>
        <w:rPr>
          <w:rFonts w:ascii="Times New Roman" w:hAnsi="Times New Roman" w:eastAsia="仿宋_GB2312" w:cs="Times New Roman"/>
          <w:lang w:eastAsia="zh-CN"/>
        </w:rPr>
        <w:t>月</w:t>
      </w:r>
      <w:r>
        <w:rPr>
          <w:rFonts w:hint="eastAsia" w:ascii="Times New Roman" w:hAnsi="Times New Roman" w:eastAsia="仿宋_GB2312" w:cs="Times New Roman"/>
          <w:lang w:val="en-US" w:eastAsia="zh-CN"/>
        </w:rPr>
        <w:t>23</w:t>
      </w:r>
      <w:bookmarkStart w:id="0" w:name="_GoBack"/>
      <w:bookmarkEnd w:id="0"/>
      <w:r>
        <w:rPr>
          <w:rFonts w:ascii="Times New Roman" w:hAnsi="Times New Roman" w:eastAsia="仿宋_GB2312" w:cs="Times New Roman"/>
          <w:lang w:eastAsia="zh-CN"/>
        </w:rPr>
        <w:t>日</w:t>
      </w:r>
    </w:p>
    <w:sectPr>
      <w:footerReference r:id="rId3" w:type="default"/>
      <w:pgSz w:w="11910" w:h="16840"/>
      <w:pgMar w:top="1519" w:right="1542" w:bottom="1162" w:left="1678"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B254DBD-4C32-464C-9D26-C4199F5B6D80}"/>
  </w:font>
  <w:font w:name="Arial">
    <w:panose1 w:val="020B0604020202020204"/>
    <w:charset w:val="01"/>
    <w:family w:val="swiss"/>
    <w:pitch w:val="default"/>
    <w:sig w:usb0="E0002AFF" w:usb1="C0007843" w:usb2="00000009" w:usb3="00000000" w:csb0="400001FF" w:csb1="FFFF0000"/>
    <w:embedRegular r:id="rId2" w:fontKey="{2F24CA90-918B-4414-8EF7-BB14D91761CB}"/>
  </w:font>
  <w:font w:name="黑体">
    <w:panose1 w:val="02010609060101010101"/>
    <w:charset w:val="86"/>
    <w:family w:val="auto"/>
    <w:pitch w:val="default"/>
    <w:sig w:usb0="800002BF" w:usb1="38CF7CFA" w:usb2="00000016" w:usb3="00000000" w:csb0="00040001" w:csb1="00000000"/>
    <w:embedRegular r:id="rId3" w:fontKey="{3A40803B-DB43-40DF-8817-743820801324}"/>
  </w:font>
  <w:font w:name="Courier New">
    <w:panose1 w:val="02070309020205020404"/>
    <w:charset w:val="01"/>
    <w:family w:val="modern"/>
    <w:pitch w:val="default"/>
    <w:sig w:usb0="E0002AFF" w:usb1="C0007843" w:usb2="00000009" w:usb3="00000000" w:csb0="400001FF" w:csb1="FFFF0000"/>
    <w:embedRegular r:id="rId4" w:fontKey="{40802865-26B8-44DD-BA86-E78E76C6E1FC}"/>
  </w:font>
  <w:font w:name="Symbol">
    <w:panose1 w:val="05050102010706020507"/>
    <w:charset w:val="02"/>
    <w:family w:val="roman"/>
    <w:pitch w:val="default"/>
    <w:sig w:usb0="00000000" w:usb1="00000000" w:usb2="00000000" w:usb3="00000000" w:csb0="80000000" w:csb1="00000000"/>
    <w:embedRegular r:id="rId5" w:fontKey="{79BD5E2C-6555-4497-AE79-957C3C5E4146}"/>
  </w:font>
  <w:font w:name="Calibri">
    <w:panose1 w:val="020F0502020204030204"/>
    <w:charset w:val="00"/>
    <w:family w:val="swiss"/>
    <w:pitch w:val="default"/>
    <w:sig w:usb0="E00002FF" w:usb1="4000ACFF" w:usb2="00000001" w:usb3="00000000" w:csb0="2000019F" w:csb1="00000000"/>
    <w:embedRegular r:id="rId6" w:fontKey="{FDBF815C-58F2-4170-B541-CFF44585EEE1}"/>
  </w:font>
  <w:font w:name="Adobe 黑体 Std R">
    <w:altName w:val="黑体"/>
    <w:panose1 w:val="00000000000000000000"/>
    <w:charset w:val="80"/>
    <w:family w:val="swiss"/>
    <w:pitch w:val="default"/>
    <w:sig w:usb0="00000000" w:usb1="00000000" w:usb2="00000016" w:usb3="00000000" w:csb0="00060007" w:csb1="00000000"/>
    <w:embedRegular r:id="rId7" w:fontKey="{6504FACB-38C4-4B17-985C-C8C33BB3D2A2}"/>
  </w:font>
  <w:font w:name="方正小标宋简体">
    <w:panose1 w:val="03000509000000000000"/>
    <w:charset w:val="86"/>
    <w:family w:val="script"/>
    <w:pitch w:val="default"/>
    <w:sig w:usb0="00000001" w:usb1="080E0000" w:usb2="00000000" w:usb3="00000000" w:csb0="00040000" w:csb1="00000000"/>
    <w:embedRegular r:id="rId8" w:fontKey="{3C31A9C1-AD9A-455D-9076-CF148040B779}"/>
  </w:font>
  <w:font w:name="仿宋_GB2312">
    <w:panose1 w:val="02010609030101010101"/>
    <w:charset w:val="86"/>
    <w:family w:val="modern"/>
    <w:pitch w:val="default"/>
    <w:sig w:usb0="00000001" w:usb1="080E0000" w:usb2="00000000" w:usb3="00000000" w:csb0="00040000" w:csb1="00000000"/>
    <w:embedRegular r:id="rId9" w:fontKey="{D904E789-9F3B-41FC-A273-F16CE0C08847}"/>
  </w:font>
  <w:font w:name="楷体">
    <w:panose1 w:val="02010609060101010101"/>
    <w:charset w:val="86"/>
    <w:family w:val="auto"/>
    <w:pitch w:val="default"/>
    <w:sig w:usb0="800002BF" w:usb1="38CF7CFA" w:usb2="00000016" w:usb3="00000000" w:csb0="00040001" w:csb1="00000000"/>
    <w:embedRegular r:id="rId10" w:fontKey="{BEB4F39B-2632-4FD1-A9CD-409483A094B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E6943">
    <w:pPr>
      <w:spacing w:line="14" w:lineRule="auto"/>
      <w:rPr>
        <w:sz w:val="20"/>
        <w:szCs w:val="20"/>
      </w:rPr>
    </w:pPr>
    <w:r>
      <w:rPr>
        <w:sz w:val="22"/>
      </w:rPr>
      <w:pict>
        <v:shape id="_x0000_s3075" o:spid="_x0000_s3075" o:spt="202" type="#_x0000_t202" style="position:absolute;left:0pt;margin-left:189.7pt;margin-top:0pt;height:144pt;width:144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16F9043">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471F5A0">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TrueTypeFonts/>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1,3"/>
    </o:shapelayout>
  </w:hdrShapeDefaults>
  <w:compat>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GEzMTU0ZjBjOTJlMGU3ZWM2MDE2OTVkMGE4N2QwMTAifQ=="/>
  </w:docVars>
  <w:rsids>
    <w:rsidRoot w:val="002514B5"/>
    <w:rsid w:val="000F1874"/>
    <w:rsid w:val="00102463"/>
    <w:rsid w:val="002514B5"/>
    <w:rsid w:val="00347FEC"/>
    <w:rsid w:val="006968E8"/>
    <w:rsid w:val="00861157"/>
    <w:rsid w:val="00867AFE"/>
    <w:rsid w:val="008D521F"/>
    <w:rsid w:val="00B16F84"/>
    <w:rsid w:val="00D3628A"/>
    <w:rsid w:val="00F251BC"/>
    <w:rsid w:val="00FE77D8"/>
    <w:rsid w:val="01C917CF"/>
    <w:rsid w:val="022A33E1"/>
    <w:rsid w:val="03C100F0"/>
    <w:rsid w:val="04357D70"/>
    <w:rsid w:val="04654DC4"/>
    <w:rsid w:val="06AE5C02"/>
    <w:rsid w:val="07841B6B"/>
    <w:rsid w:val="07FE491D"/>
    <w:rsid w:val="0822151D"/>
    <w:rsid w:val="08682950"/>
    <w:rsid w:val="08D87341"/>
    <w:rsid w:val="0A0F696E"/>
    <w:rsid w:val="0A9D3D2D"/>
    <w:rsid w:val="0BC12118"/>
    <w:rsid w:val="0C890300"/>
    <w:rsid w:val="0D630F89"/>
    <w:rsid w:val="0D810B68"/>
    <w:rsid w:val="0F9811B3"/>
    <w:rsid w:val="10F7015B"/>
    <w:rsid w:val="12F5735F"/>
    <w:rsid w:val="139152B4"/>
    <w:rsid w:val="13E45C6C"/>
    <w:rsid w:val="161B7A15"/>
    <w:rsid w:val="162B00EE"/>
    <w:rsid w:val="16E50DE0"/>
    <w:rsid w:val="17A27DE2"/>
    <w:rsid w:val="187E7B4D"/>
    <w:rsid w:val="19977D8A"/>
    <w:rsid w:val="1D3B167F"/>
    <w:rsid w:val="1E083681"/>
    <w:rsid w:val="219E39B8"/>
    <w:rsid w:val="25477C36"/>
    <w:rsid w:val="26B20955"/>
    <w:rsid w:val="29C73F17"/>
    <w:rsid w:val="2A661523"/>
    <w:rsid w:val="2A6F3C02"/>
    <w:rsid w:val="2AEF6253"/>
    <w:rsid w:val="2BE439BC"/>
    <w:rsid w:val="2F2F33BB"/>
    <w:rsid w:val="32A34E58"/>
    <w:rsid w:val="33085EB0"/>
    <w:rsid w:val="33A43898"/>
    <w:rsid w:val="34394804"/>
    <w:rsid w:val="34474EA2"/>
    <w:rsid w:val="34AA1734"/>
    <w:rsid w:val="34CC172C"/>
    <w:rsid w:val="34DF4E42"/>
    <w:rsid w:val="39A42B0C"/>
    <w:rsid w:val="3B810EFB"/>
    <w:rsid w:val="3B8E0546"/>
    <w:rsid w:val="3B9624EC"/>
    <w:rsid w:val="3C5409B8"/>
    <w:rsid w:val="3D4536F5"/>
    <w:rsid w:val="41A8390B"/>
    <w:rsid w:val="42A766AD"/>
    <w:rsid w:val="42F47286"/>
    <w:rsid w:val="43237C56"/>
    <w:rsid w:val="46753A21"/>
    <w:rsid w:val="47EA5951"/>
    <w:rsid w:val="4D7C38E7"/>
    <w:rsid w:val="4D8E280D"/>
    <w:rsid w:val="4F3823BC"/>
    <w:rsid w:val="4FDC68BF"/>
    <w:rsid w:val="505F6CEB"/>
    <w:rsid w:val="54382FF3"/>
    <w:rsid w:val="54E02594"/>
    <w:rsid w:val="555D5520"/>
    <w:rsid w:val="58173013"/>
    <w:rsid w:val="58B42CA9"/>
    <w:rsid w:val="5A9F6E67"/>
    <w:rsid w:val="5B8233E9"/>
    <w:rsid w:val="5B9E5623"/>
    <w:rsid w:val="5EF369C2"/>
    <w:rsid w:val="5F61512C"/>
    <w:rsid w:val="5F7D66C9"/>
    <w:rsid w:val="6122434D"/>
    <w:rsid w:val="63714235"/>
    <w:rsid w:val="6488303F"/>
    <w:rsid w:val="64BE6C34"/>
    <w:rsid w:val="64ED2421"/>
    <w:rsid w:val="665578A5"/>
    <w:rsid w:val="671A7149"/>
    <w:rsid w:val="6DB30687"/>
    <w:rsid w:val="6E261263"/>
    <w:rsid w:val="6F8C3791"/>
    <w:rsid w:val="708E5910"/>
    <w:rsid w:val="747B57C1"/>
    <w:rsid w:val="75B44CF4"/>
    <w:rsid w:val="768B3F84"/>
    <w:rsid w:val="76910A96"/>
    <w:rsid w:val="78EA6370"/>
    <w:rsid w:val="7AC66809"/>
    <w:rsid w:val="7B8A3B79"/>
    <w:rsid w:val="7BD5538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脚 字符"/>
    <w:basedOn w:val="9"/>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5"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1360</Words>
  <Characters>1450</Characters>
  <Lines>12</Lines>
  <Paragraphs>3</Paragraphs>
  <TotalTime>2</TotalTime>
  <ScaleCrop>false</ScaleCrop>
  <LinksUpToDate>false</LinksUpToDate>
  <CharactersWithSpaces>1475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2025-05-23T03:24:47Z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eyJoZGlkIjoiOGE4MmUxYmNlNTU3MzExMWM1Y2U2ZWQyNWU5N2EyNmIiLCJ1c2VySWQiOiIzNjY3MzQzNjUifQ==</vt:lpwstr>
  </property>
</Properties>
</file>