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D0E5">
      <w:pPr>
        <w:spacing w:line="560" w:lineRule="exact"/>
        <w:jc w:val="right"/>
        <w:rPr>
          <w:rFonts w:hint="eastAsia" w:ascii="方正小标宋_GBK" w:hAnsi="方正小标宋_GBK" w:eastAsia="方正小标宋_GBK" w:cs="方正小标宋_GBK"/>
          <w:bCs/>
          <w:color w:val="auto"/>
          <w:sz w:val="44"/>
          <w:szCs w:val="44"/>
        </w:rPr>
      </w:pPr>
      <w:r>
        <w:rPr>
          <w:rFonts w:hint="default" w:ascii="Times New Roman" w:hAnsi="Times New Roman" w:eastAsia="仿宋_GB2312" w:cs="Times New Roman"/>
          <w:sz w:val="32"/>
          <w:szCs w:val="32"/>
          <w:highlight w:val="none"/>
          <w:lang w:val="en-US" w:eastAsia="zh-CN"/>
        </w:rPr>
        <w:t>粤府土审（02）〔202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82</w:t>
      </w:r>
      <w:r>
        <w:rPr>
          <w:rFonts w:hint="default" w:ascii="Times New Roman" w:hAnsi="Times New Roman" w:eastAsia="仿宋_GB2312" w:cs="Times New Roman"/>
          <w:sz w:val="32"/>
          <w:szCs w:val="32"/>
          <w:highlight w:val="none"/>
          <w:lang w:val="en-US" w:eastAsia="zh-CN"/>
        </w:rPr>
        <w:t>号</w:t>
      </w:r>
    </w:p>
    <w:p w14:paraId="34ACF8B5">
      <w:pPr>
        <w:spacing w:line="560" w:lineRule="exact"/>
        <w:jc w:val="center"/>
        <w:rPr>
          <w:rFonts w:hint="eastAsia" w:ascii="方正小标宋_GBK" w:hAnsi="方正小标宋_GBK" w:eastAsia="方正小标宋_GBK" w:cs="方正小标宋_GBK"/>
          <w:bCs/>
          <w:color w:val="auto"/>
          <w:sz w:val="44"/>
          <w:szCs w:val="44"/>
        </w:rPr>
      </w:pPr>
    </w:p>
    <w:p w14:paraId="6A770EE8">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广东省人民政府关于广州市花都区2024年度</w:t>
      </w:r>
    </w:p>
    <w:p w14:paraId="139C3C72">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第</w:t>
      </w:r>
      <w:r>
        <w:rPr>
          <w:rFonts w:hint="eastAsia" w:ascii="方正小标宋_GBK" w:hAnsi="方正小标宋_GBK" w:eastAsia="方正小标宋_GBK" w:cs="方正小标宋_GBK"/>
          <w:bCs/>
          <w:color w:val="auto"/>
          <w:sz w:val="44"/>
          <w:szCs w:val="44"/>
          <w:lang w:eastAsia="zh-CN"/>
        </w:rPr>
        <w:t>八十三</w:t>
      </w:r>
      <w:r>
        <w:rPr>
          <w:rFonts w:hint="eastAsia" w:ascii="方正小标宋_GBK" w:hAnsi="方正小标宋_GBK" w:eastAsia="方正小标宋_GBK" w:cs="方正小标宋_GBK"/>
          <w:bCs/>
          <w:color w:val="auto"/>
          <w:sz w:val="44"/>
          <w:szCs w:val="44"/>
        </w:rPr>
        <w:t>批次城镇建设用地</w:t>
      </w:r>
      <w:r>
        <w:rPr>
          <w:rFonts w:hint="eastAsia" w:ascii="方正小标宋_GBK" w:hAnsi="方正小标宋_GBK" w:eastAsia="方正小标宋_GBK" w:cs="方正小标宋_GBK"/>
          <w:bCs/>
          <w:color w:val="auto"/>
          <w:sz w:val="44"/>
          <w:szCs w:val="44"/>
          <w:u w:val="none"/>
        </w:rPr>
        <w:t>的批复</w:t>
      </w:r>
    </w:p>
    <w:p w14:paraId="66CA970B">
      <w:pPr>
        <w:widowControl/>
        <w:spacing w:line="600" w:lineRule="exact"/>
        <w:jc w:val="center"/>
        <w:textAlignment w:val="baseline"/>
        <w:rPr>
          <w:rFonts w:hint="eastAsia"/>
          <w:b/>
          <w:color w:val="auto"/>
          <w:sz w:val="32"/>
          <w:szCs w:val="32"/>
          <w:u w:val="none"/>
        </w:rPr>
      </w:pPr>
    </w:p>
    <w:p w14:paraId="093046C0">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14:paraId="5284D289">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广州市规划和自然资源局</w:t>
      </w:r>
      <w:r>
        <w:rPr>
          <w:rFonts w:hint="eastAsia" w:ascii="仿宋_GB2312" w:hAnsi="仿宋_GB2312" w:eastAsia="仿宋_GB2312" w:cs="仿宋_GB2312"/>
          <w:color w:val="auto"/>
          <w:sz w:val="32"/>
          <w:szCs w:val="32"/>
          <w:u w:val="none"/>
        </w:rPr>
        <w:t>关于审批广州市花都区</w:t>
      </w:r>
      <w:r>
        <w:rPr>
          <w:rFonts w:hint="eastAsia" w:ascii="Times New Roman" w:hAnsi="Times New Roman" w:eastAsia="仿宋_GB2312" w:cs="Times New Roman"/>
          <w:color w:val="auto"/>
          <w:sz w:val="32"/>
          <w:szCs w:val="32"/>
          <w:highlight w:val="none"/>
          <w:u w:val="none"/>
          <w:lang w:val="en-US" w:eastAsia="zh-CN"/>
        </w:rPr>
        <w:t>2024</w:t>
      </w:r>
      <w:r>
        <w:rPr>
          <w:rFonts w:hint="eastAsia" w:ascii="仿宋_GB2312" w:hAnsi="仿宋_GB2312" w:eastAsia="仿宋_GB2312" w:cs="仿宋_GB2312"/>
          <w:color w:val="auto"/>
          <w:sz w:val="32"/>
          <w:szCs w:val="32"/>
          <w:u w:val="none"/>
        </w:rPr>
        <w:t>年度第</w:t>
      </w:r>
      <w:r>
        <w:rPr>
          <w:rFonts w:hint="eastAsia" w:ascii="仿宋_GB2312" w:hAnsi="仿宋_GB2312" w:eastAsia="仿宋_GB2312" w:cs="仿宋_GB2312"/>
          <w:color w:val="auto"/>
          <w:sz w:val="32"/>
          <w:szCs w:val="32"/>
          <w:u w:val="none"/>
          <w:lang w:eastAsia="zh-CN"/>
        </w:rPr>
        <w:t>八十三</w:t>
      </w:r>
      <w:r>
        <w:rPr>
          <w:rFonts w:hint="eastAsia" w:ascii="仿宋_GB2312" w:hAnsi="仿宋_GB2312" w:eastAsia="仿宋_GB2312" w:cs="仿宋_GB2312"/>
          <w:color w:val="auto"/>
          <w:sz w:val="32"/>
          <w:szCs w:val="32"/>
          <w:u w:val="none"/>
        </w:rPr>
        <w:t>批次城镇建设用地的请示》（</w:t>
      </w:r>
      <w:r>
        <w:rPr>
          <w:rFonts w:hint="eastAsia" w:ascii="仿宋_GB2312" w:hAnsi="仿宋_GB2312" w:eastAsia="仿宋_GB2312" w:cs="仿宋_GB2312"/>
          <w:color w:val="auto"/>
          <w:sz w:val="32"/>
          <w:szCs w:val="32"/>
          <w:highlight w:val="none"/>
          <w:u w:val="none"/>
          <w:lang w:val="en-US" w:eastAsia="zh-CN"/>
        </w:rPr>
        <w:t>穗规划资源（用地）报</w:t>
      </w:r>
      <w:r>
        <w:rPr>
          <w:rFonts w:hint="default" w:ascii="Times New Roman" w:hAnsi="Times New Roman" w:eastAsia="仿宋_GB2312" w:cs="Times New Roman"/>
          <w:color w:val="auto"/>
          <w:sz w:val="32"/>
          <w:szCs w:val="32"/>
          <w:highlight w:val="none"/>
          <w:u w:val="none"/>
          <w:lang w:val="en-US" w:eastAsia="zh-CN"/>
        </w:rPr>
        <w:t>〔2025〕23</w:t>
      </w:r>
      <w:r>
        <w:rPr>
          <w:rFonts w:hint="eastAsia" w:eastAsia="仿宋_GB2312" w:cs="Times New Roman"/>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w:t>
      </w:r>
      <w:r>
        <w:rPr>
          <w:rFonts w:hint="eastAsia" w:ascii="Times New Roman" w:hAnsi="Times New Roman" w:eastAsia="仿宋_GB2312" w:cs="Times New Roman"/>
          <w:color w:val="auto"/>
          <w:sz w:val="32"/>
          <w:szCs w:val="32"/>
          <w:highlight w:val="none"/>
          <w:u w:val="none"/>
          <w:lang w:val="en-US" w:eastAsia="zh-CN"/>
        </w:rPr>
        <w:t>2024</w:t>
      </w:r>
      <w:r>
        <w:rPr>
          <w:rFonts w:hint="eastAsia" w:ascii="仿宋_GB2312" w:hAnsi="仿宋_GB2312" w:eastAsia="仿宋_GB2312" w:cs="仿宋_GB2312"/>
          <w:color w:val="auto"/>
          <w:sz w:val="32"/>
          <w:szCs w:val="32"/>
          <w:lang w:val="en-US" w:eastAsia="zh-CN"/>
        </w:rPr>
        <w:t>年度第八十三批次城镇建设用地土地征收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highlight w:val="none"/>
          <w:lang w:val="en-US" w:eastAsia="zh-CN"/>
        </w:rPr>
        <w:t>（花府字</w:t>
      </w:r>
      <w:r>
        <w:rPr>
          <w:rFonts w:hint="eastAsia" w:ascii="Times New Roman" w:hAnsi="Times New Roman" w:eastAsia="仿宋_GB2312" w:cs="Times New Roman"/>
          <w:color w:val="auto"/>
          <w:sz w:val="32"/>
          <w:szCs w:val="32"/>
          <w:highlight w:val="none"/>
          <w:u w:val="none"/>
          <w:lang w:val="en-US" w:eastAsia="zh-CN"/>
        </w:rPr>
        <w:t>〔2025〕3</w:t>
      </w:r>
      <w:r>
        <w:rPr>
          <w:rFonts w:hint="eastAsia" w:eastAsia="仿宋_GB2312" w:cs="Times New Roman"/>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条有关规定</w:t>
      </w:r>
      <w:r>
        <w:rPr>
          <w:rFonts w:hint="eastAsia" w:ascii="仿宋_GB2312" w:hAnsi="仿宋_GB2312" w:eastAsia="仿宋_GB2312" w:cs="仿宋_GB2312"/>
          <w:color w:val="auto"/>
          <w:sz w:val="32"/>
          <w:szCs w:val="32"/>
          <w:u w:val="none"/>
        </w:rPr>
        <w:t>，批复如下：</w:t>
      </w:r>
    </w:p>
    <w:p w14:paraId="6CACEA91">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ascii="Times New Roman" w:hAnsi="Times New Roman" w:eastAsia="仿宋_GB2312" w:cs="Times New Roman"/>
          <w:color w:val="auto"/>
          <w:kern w:val="2"/>
          <w:sz w:val="32"/>
          <w:szCs w:val="32"/>
          <w:highlight w:val="none"/>
          <w:u w:val="none"/>
          <w:lang w:val="en-US" w:eastAsia="zh-CN" w:bidi="ar-SA"/>
        </w:rPr>
        <w:t>0.</w:t>
      </w:r>
      <w:r>
        <w:rPr>
          <w:rFonts w:hint="eastAsia" w:eastAsia="仿宋_GB2312" w:cs="Times New Roman"/>
          <w:color w:val="auto"/>
          <w:kern w:val="2"/>
          <w:sz w:val="32"/>
          <w:szCs w:val="32"/>
          <w:highlight w:val="none"/>
          <w:u w:val="none"/>
          <w:lang w:val="en-US" w:eastAsia="zh-CN" w:bidi="ar-SA"/>
        </w:rPr>
        <w:t>0272</w:t>
      </w:r>
      <w:r>
        <w:rPr>
          <w:rFonts w:hint="eastAsia" w:ascii="Times New Roman" w:hAnsi="Times New Roman" w:eastAsia="仿宋_GB2312" w:cs="Times New Roman"/>
          <w:color w:val="auto"/>
          <w:kern w:val="2"/>
          <w:sz w:val="32"/>
          <w:szCs w:val="32"/>
          <w:highlight w:val="none"/>
          <w:u w:val="none"/>
          <w:lang w:val="en-US" w:eastAsia="zh-CN" w:bidi="ar-SA"/>
        </w:rPr>
        <w:t>公顷城镇建设用地，即同意你市将花都区秀全街岐山村岐</w:t>
      </w:r>
      <w:r>
        <w:rPr>
          <w:rFonts w:hint="eastAsia" w:eastAsia="仿宋_GB2312" w:cs="Times New Roman"/>
          <w:color w:val="auto"/>
          <w:kern w:val="2"/>
          <w:sz w:val="32"/>
          <w:szCs w:val="32"/>
          <w:highlight w:val="none"/>
          <w:u w:val="none"/>
          <w:lang w:val="en-US" w:eastAsia="zh-CN" w:bidi="ar-SA"/>
        </w:rPr>
        <w:t>东</w:t>
      </w:r>
      <w:r>
        <w:rPr>
          <w:rFonts w:hint="eastAsia" w:ascii="Times New Roman" w:hAnsi="Times New Roman" w:eastAsia="仿宋_GB2312" w:cs="Times New Roman"/>
          <w:color w:val="auto"/>
          <w:kern w:val="2"/>
          <w:sz w:val="32"/>
          <w:szCs w:val="32"/>
          <w:highlight w:val="none"/>
          <w:u w:val="none"/>
          <w:lang w:val="en-US" w:eastAsia="zh-CN" w:bidi="ar-SA"/>
        </w:rPr>
        <w:t>经济合作社属下的集体农用地0.</w:t>
      </w:r>
      <w:r>
        <w:rPr>
          <w:rFonts w:hint="eastAsia" w:eastAsia="仿宋_GB2312" w:cs="Times New Roman"/>
          <w:color w:val="auto"/>
          <w:kern w:val="2"/>
          <w:sz w:val="32"/>
          <w:szCs w:val="32"/>
          <w:highlight w:val="none"/>
          <w:u w:val="none"/>
          <w:lang w:val="en-US" w:eastAsia="zh-CN" w:bidi="ar-SA"/>
        </w:rPr>
        <w:t>0257</w:t>
      </w:r>
      <w:r>
        <w:rPr>
          <w:rFonts w:hint="eastAsia" w:ascii="Times New Roman" w:hAnsi="Times New Roman" w:eastAsia="仿宋_GB2312" w:cs="Times New Roman"/>
          <w:color w:val="auto"/>
          <w:kern w:val="2"/>
          <w:sz w:val="32"/>
          <w:szCs w:val="32"/>
          <w:highlight w:val="none"/>
          <w:u w:val="none"/>
          <w:lang w:val="en-US" w:eastAsia="zh-CN" w:bidi="ar-SA"/>
        </w:rPr>
        <w:t>公顷（</w:t>
      </w:r>
      <w:r>
        <w:rPr>
          <w:rFonts w:hint="eastAsia" w:eastAsia="仿宋_GB2312" w:cs="Times New Roman"/>
          <w:color w:val="auto"/>
          <w:kern w:val="2"/>
          <w:sz w:val="32"/>
          <w:szCs w:val="32"/>
          <w:highlight w:val="none"/>
          <w:u w:val="none"/>
          <w:lang w:val="en-US" w:eastAsia="zh-CN" w:bidi="ar-SA"/>
        </w:rPr>
        <w:t>其中</w:t>
      </w:r>
      <w:r>
        <w:rPr>
          <w:rFonts w:hint="eastAsia" w:ascii="Times New Roman" w:hAnsi="Times New Roman" w:eastAsia="仿宋_GB2312" w:cs="Times New Roman"/>
          <w:color w:val="auto"/>
          <w:kern w:val="2"/>
          <w:sz w:val="32"/>
          <w:szCs w:val="32"/>
          <w:highlight w:val="none"/>
          <w:u w:val="none"/>
          <w:lang w:val="en-US" w:eastAsia="zh-CN" w:bidi="ar-SA"/>
        </w:rPr>
        <w:t>耕地</w:t>
      </w:r>
      <w:r>
        <w:rPr>
          <w:rFonts w:hint="eastAsia" w:eastAsia="仿宋_GB2312" w:cs="Times New Roman"/>
          <w:color w:val="auto"/>
          <w:kern w:val="2"/>
          <w:sz w:val="32"/>
          <w:szCs w:val="32"/>
          <w:highlight w:val="none"/>
          <w:u w:val="none"/>
          <w:lang w:val="en-US" w:eastAsia="zh-CN" w:bidi="ar-SA"/>
        </w:rPr>
        <w:t>0.0057公顷</w:t>
      </w:r>
      <w:r>
        <w:rPr>
          <w:rFonts w:hint="eastAsia" w:ascii="Times New Roman" w:hAnsi="Times New Roman" w:eastAsia="仿宋_GB2312" w:cs="Times New Roman"/>
          <w:color w:val="auto"/>
          <w:kern w:val="2"/>
          <w:sz w:val="32"/>
          <w:szCs w:val="32"/>
          <w:highlight w:val="none"/>
          <w:u w:val="none"/>
          <w:lang w:val="en-US" w:eastAsia="zh-CN" w:bidi="ar-SA"/>
        </w:rPr>
        <w:t>）转为建设用地，同时使用上述有关村集体建设用地0.0</w:t>
      </w:r>
      <w:r>
        <w:rPr>
          <w:rFonts w:hint="eastAsia" w:eastAsia="仿宋_GB2312" w:cs="Times New Roman"/>
          <w:color w:val="auto"/>
          <w:kern w:val="2"/>
          <w:sz w:val="32"/>
          <w:szCs w:val="32"/>
          <w:highlight w:val="none"/>
          <w:u w:val="none"/>
          <w:lang w:val="en-US" w:eastAsia="zh-CN" w:bidi="ar-SA"/>
        </w:rPr>
        <w:t>015</w:t>
      </w:r>
      <w:r>
        <w:rPr>
          <w:rFonts w:hint="eastAsia" w:ascii="Times New Roman" w:hAnsi="Times New Roman" w:eastAsia="仿宋_GB2312" w:cs="Times New Roman"/>
          <w:color w:val="auto"/>
          <w:kern w:val="2"/>
          <w:sz w:val="32"/>
          <w:szCs w:val="32"/>
          <w:highlight w:val="none"/>
          <w:u w:val="none"/>
          <w:lang w:val="en-US" w:eastAsia="zh-CN" w:bidi="ar-SA"/>
        </w:rPr>
        <w:t>公顷，以上合计0.</w:t>
      </w:r>
      <w:r>
        <w:rPr>
          <w:rFonts w:hint="eastAsia" w:eastAsia="仿宋_GB2312" w:cs="Times New Roman"/>
          <w:color w:val="auto"/>
          <w:kern w:val="2"/>
          <w:sz w:val="32"/>
          <w:szCs w:val="32"/>
          <w:highlight w:val="none"/>
          <w:u w:val="none"/>
          <w:lang w:val="en-US" w:eastAsia="zh-CN" w:bidi="ar-SA"/>
        </w:rPr>
        <w:t>0272</w:t>
      </w:r>
      <w:r>
        <w:rPr>
          <w:rFonts w:hint="eastAsia" w:ascii="Times New Roman" w:hAnsi="Times New Roman" w:eastAsia="仿宋_GB2312" w:cs="Times New Roman"/>
          <w:color w:val="auto"/>
          <w:kern w:val="2"/>
          <w:sz w:val="32"/>
          <w:szCs w:val="32"/>
          <w:highlight w:val="none"/>
          <w:u w:val="none"/>
          <w:lang w:val="en-US" w:eastAsia="zh-CN" w:bidi="ar-SA"/>
        </w:rPr>
        <w:t>公顷集体土地一并办理征地手续。上述批准建设用地0.</w:t>
      </w:r>
      <w:r>
        <w:rPr>
          <w:rFonts w:hint="eastAsia" w:eastAsia="仿宋_GB2312" w:cs="Times New Roman"/>
          <w:color w:val="auto"/>
          <w:kern w:val="2"/>
          <w:sz w:val="32"/>
          <w:szCs w:val="32"/>
          <w:highlight w:val="none"/>
          <w:u w:val="none"/>
          <w:lang w:val="en-US" w:eastAsia="zh-CN" w:bidi="ar-SA"/>
        </w:rPr>
        <w:t>0272</w:t>
      </w:r>
      <w:r>
        <w:rPr>
          <w:rFonts w:hint="eastAsia" w:ascii="Times New Roman" w:hAnsi="Times New Roman" w:eastAsia="仿宋_GB2312" w:cs="Times New Roman"/>
          <w:color w:val="auto"/>
          <w:kern w:val="2"/>
          <w:sz w:val="32"/>
          <w:szCs w:val="32"/>
          <w:highlight w:val="none"/>
          <w:u w:val="none"/>
          <w:lang w:val="en-US" w:eastAsia="zh-CN" w:bidi="ar-SA"/>
        </w:rPr>
        <w:t>公顷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当地人民政府依法依规供应</w:t>
      </w:r>
      <w:r>
        <w:rPr>
          <w:rFonts w:hint="eastAsia" w:ascii="仿宋_GB2312" w:hAnsi="仿宋_GB2312" w:eastAsia="仿宋_GB2312" w:cs="仿宋_GB2312"/>
          <w:color w:val="auto"/>
          <w:sz w:val="32"/>
          <w:szCs w:val="32"/>
        </w:rPr>
        <w:t>。</w:t>
      </w:r>
    </w:p>
    <w:p w14:paraId="675C8925">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w:t>
      </w:r>
      <w:r>
        <w:rPr>
          <w:rFonts w:hint="eastAsia" w:ascii="仿宋_GB2312" w:hAnsi="仿宋_GB2312" w:eastAsia="仿宋_GB2312" w:cs="仿宋_GB2312"/>
          <w:color w:val="auto"/>
          <w:kern w:val="0"/>
          <w:sz w:val="32"/>
          <w:szCs w:val="32"/>
          <w:lang w:eastAsia="zh-CN" w:bidi="ar"/>
        </w:rPr>
        <w:t>市人民</w:t>
      </w:r>
      <w:r>
        <w:rPr>
          <w:rFonts w:hint="eastAsia" w:ascii="仿宋_GB2312" w:hAnsi="仿宋_GB2312" w:eastAsia="仿宋_GB2312" w:cs="仿宋_GB2312"/>
          <w:color w:val="auto"/>
          <w:kern w:val="0"/>
          <w:sz w:val="32"/>
          <w:szCs w:val="32"/>
          <w:lang w:val="en-US" w:eastAsia="zh-CN" w:bidi="ar"/>
        </w:rPr>
        <w:t>政府负责落实补充耕地</w:t>
      </w:r>
      <w:r>
        <w:rPr>
          <w:rFonts w:hint="eastAsia" w:ascii="仿宋_GB2312" w:hAnsi="仿宋_GB2312" w:eastAsia="仿宋_GB2312" w:cs="仿宋_GB2312"/>
          <w:color w:val="auto"/>
          <w:sz w:val="32"/>
          <w:szCs w:val="32"/>
        </w:rPr>
        <w:t>。督促补充耕地责任单位认真</w:t>
      </w:r>
      <w:r>
        <w:rPr>
          <w:rFonts w:hint="eastAsia" w:ascii="仿宋_GB2312" w:hAnsi="仿宋_GB2312" w:eastAsia="仿宋_GB2312" w:cs="仿宋_GB2312"/>
          <w:color w:val="auto"/>
          <w:sz w:val="32"/>
          <w:szCs w:val="32"/>
          <w:lang w:eastAsia="zh-CN"/>
        </w:rPr>
        <w:t>落实耕地占补平衡</w:t>
      </w:r>
      <w:r>
        <w:rPr>
          <w:rFonts w:hint="eastAsia" w:ascii="仿宋_GB2312" w:hAnsi="仿宋_GB2312" w:eastAsia="仿宋_GB2312" w:cs="仿宋_GB2312"/>
          <w:color w:val="auto"/>
          <w:sz w:val="32"/>
          <w:szCs w:val="32"/>
        </w:rPr>
        <w:t>，补充数量相等、质量相当的耕地，对应核销耕地数量、水田规模和标准粮食产能指标（确认信息编号：</w:t>
      </w:r>
      <w:r>
        <w:rPr>
          <w:rFonts w:hint="eastAsia" w:ascii="Times New Roman" w:hAnsi="Times New Roman" w:eastAsia="仿宋_GB2312" w:cs="Times New Roman"/>
          <w:color w:val="auto"/>
          <w:kern w:val="2"/>
          <w:sz w:val="32"/>
          <w:szCs w:val="32"/>
          <w:highlight w:val="none"/>
          <w:u w:val="none"/>
          <w:lang w:val="en-US" w:eastAsia="zh-CN" w:bidi="ar-SA"/>
        </w:rPr>
        <w:t>440000202507511440</w:t>
      </w:r>
      <w:r>
        <w:rPr>
          <w:rFonts w:hint="eastAsia" w:ascii="仿宋_GB2312" w:hAnsi="仿宋_GB2312" w:eastAsia="仿宋_GB2312" w:cs="仿宋_GB2312"/>
          <w:color w:val="auto"/>
          <w:sz w:val="32"/>
          <w:szCs w:val="32"/>
        </w:rPr>
        <w:t>）。</w:t>
      </w:r>
    </w:p>
    <w:p w14:paraId="0AE2478C">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14:paraId="4EC4DB7F">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b w:val="0"/>
          <w:bCs w:val="0"/>
          <w:color w:val="auto"/>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p>
    <w:p w14:paraId="212330DD">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14:paraId="187D18A0">
      <w:pPr>
        <w:widowControl/>
        <w:spacing w:line="600" w:lineRule="exact"/>
        <w:textAlignment w:val="baseline"/>
        <w:rPr>
          <w:rFonts w:hint="eastAsia" w:ascii="仿宋_GB2312" w:hAnsi="仿宋_GB2312" w:eastAsia="仿宋_GB2312" w:cs="仿宋_GB2312"/>
          <w:color w:val="auto"/>
          <w:sz w:val="32"/>
          <w:szCs w:val="32"/>
        </w:rPr>
      </w:pPr>
    </w:p>
    <w:p w14:paraId="41B02CD6">
      <w:pPr>
        <w:widowControl/>
        <w:spacing w:line="600" w:lineRule="exact"/>
        <w:textAlignment w:val="baseline"/>
        <w:rPr>
          <w:rFonts w:hint="eastAsia" w:ascii="仿宋_GB2312" w:hAnsi="仿宋_GB2312" w:eastAsia="仿宋_GB2312" w:cs="仿宋_GB2312"/>
          <w:color w:val="auto"/>
          <w:sz w:val="32"/>
          <w:szCs w:val="32"/>
        </w:rPr>
      </w:pPr>
    </w:p>
    <w:p w14:paraId="65786145">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14:paraId="247084E5">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2025年6月11</w:t>
      </w:r>
      <w:r>
        <w:rPr>
          <w:rFonts w:hint="eastAsia" w:ascii="仿宋_GB2312" w:hAnsi="仿宋_GB2312" w:eastAsia="仿宋_GB2312" w:cs="仿宋_GB2312"/>
          <w:color w:val="auto"/>
          <w:sz w:val="32"/>
          <w:szCs w:val="32"/>
        </w:rPr>
        <w:t>日</w:t>
      </w:r>
    </w:p>
    <w:p w14:paraId="11B7957D">
      <w:pPr>
        <w:widowControl/>
        <w:spacing w:line="600" w:lineRule="exact"/>
        <w:textAlignment w:val="baseline"/>
        <w:rPr>
          <w:rFonts w:hint="eastAsia" w:eastAsia="仿宋_GB2312"/>
          <w:color w:val="auto"/>
          <w:sz w:val="32"/>
          <w:szCs w:val="32"/>
        </w:rPr>
      </w:pPr>
    </w:p>
    <w:p w14:paraId="24615EB3">
      <w:pPr>
        <w:widowControl/>
        <w:spacing w:line="600" w:lineRule="exact"/>
        <w:textAlignment w:val="baseline"/>
        <w:rPr>
          <w:rFonts w:hint="eastAsia" w:eastAsia="仿宋_GB2312"/>
          <w:color w:val="auto"/>
          <w:sz w:val="32"/>
          <w:szCs w:val="32"/>
        </w:rPr>
      </w:pPr>
    </w:p>
    <w:p w14:paraId="7F51C83F">
      <w:pPr>
        <w:widowControl/>
        <w:spacing w:line="600" w:lineRule="exact"/>
        <w:textAlignment w:val="baseline"/>
        <w:rPr>
          <w:rFonts w:hint="eastAsia" w:eastAsia="仿宋_GB2312"/>
          <w:color w:val="auto"/>
          <w:sz w:val="32"/>
          <w:szCs w:val="32"/>
        </w:rPr>
      </w:pPr>
    </w:p>
    <w:p w14:paraId="1D8FC74C">
      <w:pPr>
        <w:widowControl/>
        <w:spacing w:line="600" w:lineRule="exact"/>
        <w:textAlignment w:val="baseline"/>
        <w:rPr>
          <w:rFonts w:hint="eastAsia" w:eastAsia="仿宋_GB2312"/>
          <w:color w:val="auto"/>
          <w:sz w:val="32"/>
          <w:szCs w:val="32"/>
        </w:rPr>
      </w:pPr>
    </w:p>
    <w:p w14:paraId="7DC06B6D">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bookmarkStart w:id="0" w:name="_GoBack"/>
      <w:bookmarkEnd w:id="0"/>
    </w:p>
    <w:p w14:paraId="0A1E5A8C">
      <w:pPr>
        <w:spacing w:line="560" w:lineRule="exact"/>
        <w:ind w:left="1104" w:leftChars="201" w:hanging="690" w:hangingChars="250"/>
        <w:rPr>
          <w:color w:val="auto"/>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w:t>
      </w: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6CB">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0386C3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CFB">
    <w:pPr>
      <w:pStyle w:val="2"/>
      <w:framePr w:wrap="around" w:vAnchor="text" w:hAnchor="margin" w:xAlign="outside" w:y="1"/>
      <w:rPr>
        <w:rStyle w:val="5"/>
      </w:rPr>
    </w:pPr>
    <w:r>
      <w:fldChar w:fldCharType="begin"/>
    </w:r>
    <w:r>
      <w:rPr>
        <w:rStyle w:val="5"/>
      </w:rPr>
      <w:instrText xml:space="preserve">PAGE  </w:instrText>
    </w:r>
    <w:r>
      <w:fldChar w:fldCharType="end"/>
    </w:r>
  </w:p>
  <w:p w14:paraId="33422E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E8"/>
    <w:rsid w:val="007239E8"/>
    <w:rsid w:val="02810FF7"/>
    <w:rsid w:val="0346238A"/>
    <w:rsid w:val="0C9920D9"/>
    <w:rsid w:val="13236B26"/>
    <w:rsid w:val="15EA2560"/>
    <w:rsid w:val="26AD3E24"/>
    <w:rsid w:val="2E6F1820"/>
    <w:rsid w:val="33935FAE"/>
    <w:rsid w:val="3BBA7AA0"/>
    <w:rsid w:val="407B1783"/>
    <w:rsid w:val="44481963"/>
    <w:rsid w:val="483A73C5"/>
    <w:rsid w:val="4F617A2B"/>
    <w:rsid w:val="506F56B2"/>
    <w:rsid w:val="51C56C38"/>
    <w:rsid w:val="555846C7"/>
    <w:rsid w:val="56A7023F"/>
    <w:rsid w:val="5D293D56"/>
    <w:rsid w:val="6D593268"/>
    <w:rsid w:val="770C5427"/>
    <w:rsid w:val="7BF82EAB"/>
    <w:rsid w:val="7E2F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陈湘鹏</cp:lastModifiedBy>
  <dcterms:modified xsi:type="dcterms:W3CDTF">2025-06-26T07:23:04Z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50C58CED391548A2B10BA66E45B58CF7</vt:lpwstr>
  </property>
</Properties>
</file>