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13E39">
      <w:pPr>
        <w:spacing w:before="0" w:line="500" w:lineRule="exact"/>
        <w:ind w:right="0"/>
        <w:jc w:val="center"/>
        <w:rPr>
          <w:rFonts w:hint="default" w:ascii="Times New Roman" w:hAnsi="Times New Roman" w:eastAsia="方正小标宋简体" w:cs="Times New Roman"/>
          <w:color w:val="auto"/>
          <w:sz w:val="44"/>
          <w:szCs w:val="44"/>
          <w:highlight w:val="none"/>
          <w:u w:val="none"/>
        </w:rPr>
      </w:pPr>
    </w:p>
    <w:p w14:paraId="51A7B985">
      <w:pPr>
        <w:spacing w:before="0" w:line="500" w:lineRule="exact"/>
        <w:ind w:right="0"/>
        <w:jc w:val="center"/>
        <w:rPr>
          <w:rFonts w:hint="default" w:ascii="Times New Roman" w:hAnsi="Times New Roman" w:eastAsia="方正小标宋简体" w:cs="Times New Roman"/>
          <w:color w:val="auto"/>
          <w:sz w:val="44"/>
          <w:szCs w:val="44"/>
          <w:highlight w:val="none"/>
          <w:u w:val="none"/>
        </w:rPr>
      </w:pPr>
    </w:p>
    <w:p w14:paraId="707EB8A8">
      <w:pPr>
        <w:spacing w:before="0" w:line="500" w:lineRule="exact"/>
        <w:ind w:right="0"/>
        <w:jc w:val="center"/>
        <w:rPr>
          <w:rFonts w:hint="default" w:ascii="Times New Roman" w:hAnsi="Times New Roman" w:eastAsia="方正小标宋简体" w:cs="Times New Roman"/>
          <w:color w:val="auto"/>
          <w:sz w:val="44"/>
          <w:szCs w:val="44"/>
          <w:highlight w:val="none"/>
          <w:u w:val="none"/>
        </w:rPr>
      </w:pPr>
    </w:p>
    <w:p w14:paraId="6AF68158">
      <w:pPr>
        <w:spacing w:before="0" w:line="560" w:lineRule="exact"/>
        <w:ind w:right="0"/>
        <w:jc w:val="center"/>
        <w:rPr>
          <w:rFonts w:hint="default" w:ascii="Times New Roman" w:hAnsi="Times New Roman" w:eastAsia="方正小标宋简体" w:cs="Times New Roman"/>
          <w:color w:val="auto"/>
          <w:sz w:val="44"/>
          <w:szCs w:val="44"/>
          <w:highlight w:val="none"/>
          <w:u w:val="none"/>
        </w:rPr>
      </w:pPr>
      <w:r>
        <w:rPr>
          <w:rFonts w:hint="eastAsia" w:ascii="Times New Roman" w:hAnsi="Times New Roman" w:eastAsia="方正小标宋简体" w:cs="Times New Roman"/>
          <w:color w:val="auto"/>
          <w:sz w:val="44"/>
          <w:szCs w:val="44"/>
          <w:highlight w:val="none"/>
          <w:u w:val="none"/>
          <w:lang w:val="en-US" w:eastAsia="zh-CN"/>
        </w:rPr>
        <w:t>关于</w:t>
      </w:r>
      <w:r>
        <w:rPr>
          <w:rFonts w:hint="default" w:ascii="Times New Roman" w:hAnsi="Times New Roman" w:eastAsia="方正小标宋简体" w:cs="Times New Roman"/>
          <w:color w:val="auto"/>
          <w:sz w:val="44"/>
          <w:szCs w:val="44"/>
          <w:highlight w:val="none"/>
          <w:u w:val="none"/>
        </w:rPr>
        <w:t>广州市花都区2025年度第六十四批次城镇建设用地</w:t>
      </w:r>
      <w:r>
        <w:rPr>
          <w:rFonts w:hint="default" w:ascii="Times New Roman" w:hAnsi="Times New Roman" w:eastAsia="方正小标宋简体" w:cs="Times New Roman"/>
          <w:color w:val="auto"/>
          <w:sz w:val="44"/>
          <w:szCs w:val="44"/>
          <w:highlight w:val="none"/>
          <w:u w:val="none"/>
          <w:lang w:eastAsia="zh-CN"/>
        </w:rPr>
        <w:t>（</w:t>
      </w:r>
      <w:r>
        <w:rPr>
          <w:rFonts w:hint="default" w:ascii="Times New Roman" w:hAnsi="Times New Roman" w:eastAsia="方正小标宋简体" w:cs="Times New Roman"/>
          <w:color w:val="auto"/>
          <w:sz w:val="44"/>
          <w:szCs w:val="44"/>
          <w:highlight w:val="none"/>
          <w:u w:val="none"/>
        </w:rPr>
        <w:t>广州市花都区平西村、新和村</w:t>
      </w:r>
    </w:p>
    <w:p w14:paraId="11084D2B">
      <w:pPr>
        <w:spacing w:before="0" w:line="560" w:lineRule="exact"/>
        <w:ind w:right="0"/>
        <w:jc w:val="center"/>
        <w:rPr>
          <w:rFonts w:hint="default" w:ascii="Times New Roman" w:hAnsi="Times New Roman" w:eastAsia="方正小标宋简体" w:cs="Times New Roman"/>
          <w:color w:val="auto"/>
          <w:sz w:val="44"/>
          <w:szCs w:val="44"/>
          <w:highlight w:val="none"/>
          <w:u w:val="none"/>
          <w:lang w:eastAsia="zh-CN"/>
        </w:rPr>
      </w:pPr>
      <w:r>
        <w:rPr>
          <w:rFonts w:hint="default" w:ascii="Times New Roman" w:hAnsi="Times New Roman" w:eastAsia="方正小标宋简体" w:cs="Times New Roman"/>
          <w:color w:val="auto"/>
          <w:sz w:val="44"/>
          <w:szCs w:val="44"/>
          <w:highlight w:val="none"/>
          <w:u w:val="none"/>
        </w:rPr>
        <w:t>城中村改造项目地块三A</w:t>
      </w:r>
      <w:r>
        <w:rPr>
          <w:rFonts w:hint="default" w:ascii="Times New Roman" w:hAnsi="Times New Roman" w:eastAsia="方正小标宋简体" w:cs="Times New Roman"/>
          <w:color w:val="auto"/>
          <w:sz w:val="44"/>
          <w:szCs w:val="44"/>
          <w:highlight w:val="none"/>
          <w:u w:val="none"/>
          <w:lang w:eastAsia="zh-CN"/>
        </w:rPr>
        <w:t>）</w:t>
      </w:r>
    </w:p>
    <w:p w14:paraId="2C8EA882">
      <w:pPr>
        <w:spacing w:before="0" w:line="560" w:lineRule="exact"/>
        <w:ind w:right="0"/>
        <w:jc w:val="center"/>
        <w:rPr>
          <w:rFonts w:hint="default" w:ascii="Times New Roman" w:hAnsi="Times New Roman" w:eastAsia="方正小标宋简体" w:cs="Times New Roman"/>
          <w:color w:val="auto"/>
          <w:sz w:val="44"/>
          <w:szCs w:val="44"/>
          <w:highlight w:val="none"/>
          <w:u w:val="none"/>
        </w:rPr>
      </w:pPr>
      <w:r>
        <w:rPr>
          <w:rFonts w:hint="eastAsia" w:ascii="Times New Roman" w:hAnsi="Times New Roman" w:eastAsia="方正小标宋简体" w:cs="Times New Roman"/>
          <w:color w:val="auto"/>
          <w:sz w:val="44"/>
          <w:szCs w:val="44"/>
          <w:highlight w:val="none"/>
          <w:u w:val="none"/>
          <w:lang w:eastAsia="zh-CN"/>
        </w:rPr>
        <w:t>的</w:t>
      </w:r>
      <w:r>
        <w:rPr>
          <w:rFonts w:hint="default" w:ascii="Times New Roman" w:hAnsi="Times New Roman" w:eastAsia="方正小标宋简体" w:cs="Times New Roman"/>
          <w:color w:val="auto"/>
          <w:sz w:val="44"/>
          <w:szCs w:val="44"/>
          <w:highlight w:val="none"/>
          <w:u w:val="none"/>
        </w:rPr>
        <w:t>征地补偿安置方案</w:t>
      </w:r>
    </w:p>
    <w:p w14:paraId="470FBD40">
      <w:pPr>
        <w:spacing w:before="7" w:line="520" w:lineRule="exact"/>
        <w:rPr>
          <w:rFonts w:ascii="Times New Roman" w:hAnsi="Times New Roman" w:eastAsia="Adobe 黑体 Std R" w:cs="Times New Roman"/>
          <w:color w:val="auto"/>
          <w:sz w:val="34"/>
          <w:szCs w:val="34"/>
          <w:highlight w:val="none"/>
          <w:u w:val="none"/>
        </w:rPr>
      </w:pPr>
    </w:p>
    <w:p w14:paraId="29BC23BE">
      <w:pPr>
        <w:pStyle w:val="6"/>
        <w:keepNext w:val="0"/>
        <w:keepLines w:val="0"/>
        <w:pageBreakBefore w:val="0"/>
        <w:widowControl w:val="0"/>
        <w:kinsoku/>
        <w:wordWrap w:val="0"/>
        <w:overflowPunct/>
        <w:topLinePunct w:val="0"/>
        <w:autoSpaceDE/>
        <w:autoSpaceDN/>
        <w:bidi w:val="0"/>
        <w:adjustRightInd/>
        <w:snapToGrid/>
        <w:spacing w:before="0" w:line="52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为实施广州市</w:t>
      </w:r>
      <w:r>
        <w:rPr>
          <w:rFonts w:hint="default" w:ascii="Times New Roman" w:hAnsi="Times New Roman" w:eastAsia="仿宋_GB2312" w:cs="Times New Roman"/>
          <w:color w:val="auto"/>
          <w:spacing w:val="-20"/>
          <w:sz w:val="32"/>
          <w:szCs w:val="32"/>
          <w:highlight w:val="none"/>
          <w:u w:val="none"/>
          <w:lang w:eastAsia="zh-CN"/>
        </w:rPr>
        <w:t>花都</w:t>
      </w:r>
      <w:r>
        <w:rPr>
          <w:rFonts w:hint="default" w:ascii="Times New Roman" w:hAnsi="Times New Roman" w:eastAsia="仿宋_GB2312" w:cs="Times New Roman"/>
          <w:color w:val="auto"/>
          <w:sz w:val="32"/>
          <w:szCs w:val="32"/>
          <w:highlight w:val="none"/>
          <w:u w:val="none"/>
        </w:rPr>
        <w:t>区</w:t>
      </w:r>
      <w:r>
        <w:rPr>
          <w:rFonts w:hint="default" w:ascii="Times New Roman" w:hAnsi="Times New Roman" w:eastAsia="仿宋_GB2312" w:cs="Times New Roman"/>
          <w:color w:val="auto"/>
          <w:spacing w:val="-20"/>
          <w:sz w:val="32"/>
          <w:szCs w:val="32"/>
          <w:highlight w:val="none"/>
          <w:u w:val="none"/>
          <w:lang w:val="en-US" w:eastAsia="zh-CN"/>
        </w:rPr>
        <w:t>花山镇</w:t>
      </w:r>
      <w:r>
        <w:rPr>
          <w:rFonts w:hint="default" w:ascii="Times New Roman" w:hAnsi="Times New Roman" w:eastAsia="仿宋_GB2312" w:cs="Times New Roman"/>
          <w:color w:val="auto"/>
          <w:sz w:val="32"/>
          <w:szCs w:val="32"/>
          <w:highlight w:val="none"/>
          <w:u w:val="none"/>
        </w:rPr>
        <w:t>建设规划，完善城市功</w:t>
      </w:r>
      <w:r>
        <w:rPr>
          <w:rFonts w:hint="default" w:ascii="Times New Roman" w:hAnsi="Times New Roman" w:eastAsia="仿宋_GB2312" w:cs="Times New Roman"/>
          <w:color w:val="auto"/>
          <w:spacing w:val="6"/>
          <w:sz w:val="32"/>
          <w:szCs w:val="32"/>
          <w:highlight w:val="none"/>
          <w:u w:val="none"/>
        </w:rPr>
        <w:t>能</w:t>
      </w:r>
      <w:r>
        <w:rPr>
          <w:rFonts w:hint="default" w:ascii="Times New Roman" w:hAnsi="Times New Roman" w:eastAsia="仿宋_GB2312" w:cs="Times New Roman"/>
          <w:color w:val="auto"/>
          <w:spacing w:val="6"/>
          <w:sz w:val="32"/>
          <w:szCs w:val="32"/>
          <w:highlight w:val="none"/>
          <w:u w:val="none"/>
          <w:lang w:eastAsia="zh-CN"/>
        </w:rPr>
        <w:t>，</w:t>
      </w:r>
      <w:r>
        <w:rPr>
          <w:rFonts w:hint="default" w:ascii="Times New Roman" w:hAnsi="Times New Roman" w:eastAsia="仿宋_GB2312" w:cs="Times New Roman"/>
          <w:color w:val="auto"/>
          <w:spacing w:val="6"/>
          <w:sz w:val="32"/>
          <w:szCs w:val="32"/>
          <w:highlight w:val="none"/>
          <w:u w:val="none"/>
        </w:rPr>
        <w:t>改善城市环境，促进经济、文化发展，广州市</w:t>
      </w:r>
      <w:r>
        <w:rPr>
          <w:rFonts w:hint="default" w:ascii="Times New Roman" w:hAnsi="Times New Roman" w:eastAsia="仿宋_GB2312" w:cs="Times New Roman"/>
          <w:color w:val="auto"/>
          <w:spacing w:val="6"/>
          <w:sz w:val="32"/>
          <w:szCs w:val="32"/>
          <w:highlight w:val="none"/>
          <w:u w:val="none"/>
          <w:lang w:eastAsia="zh-CN"/>
        </w:rPr>
        <w:t>花都</w:t>
      </w:r>
      <w:r>
        <w:rPr>
          <w:rFonts w:hint="default" w:ascii="Times New Roman" w:hAnsi="Times New Roman" w:eastAsia="仿宋_GB2312" w:cs="Times New Roman"/>
          <w:color w:val="auto"/>
          <w:spacing w:val="3"/>
          <w:sz w:val="32"/>
          <w:szCs w:val="32"/>
          <w:highlight w:val="none"/>
          <w:u w:val="none"/>
        </w:rPr>
        <w:t>区人</w:t>
      </w:r>
      <w:r>
        <w:rPr>
          <w:rFonts w:hint="default" w:ascii="Times New Roman" w:hAnsi="Times New Roman" w:eastAsia="仿宋_GB2312" w:cs="Times New Roman"/>
          <w:color w:val="auto"/>
          <w:spacing w:val="5"/>
          <w:sz w:val="32"/>
          <w:szCs w:val="32"/>
          <w:highlight w:val="none"/>
          <w:u w:val="none"/>
        </w:rPr>
        <w:t>民政府拟征收</w:t>
      </w:r>
      <w:r>
        <w:rPr>
          <w:rFonts w:hint="default" w:ascii="Times New Roman" w:hAnsi="Times New Roman" w:eastAsia="仿宋_GB2312" w:cs="Times New Roman"/>
          <w:color w:val="auto"/>
          <w:spacing w:val="5"/>
          <w:sz w:val="32"/>
          <w:szCs w:val="32"/>
          <w:highlight w:val="none"/>
          <w:u w:val="none"/>
          <w:lang w:eastAsia="zh-CN"/>
        </w:rPr>
        <w:t>该区</w:t>
      </w:r>
      <w:r>
        <w:rPr>
          <w:rFonts w:hint="default" w:ascii="Times New Roman" w:hAnsi="Times New Roman" w:eastAsia="仿宋_GB2312" w:cs="Times New Roman"/>
          <w:color w:val="auto"/>
          <w:spacing w:val="-27"/>
          <w:sz w:val="32"/>
          <w:szCs w:val="32"/>
          <w:highlight w:val="none"/>
          <w:u w:val="none"/>
          <w:lang w:val="en-US" w:eastAsia="zh-CN"/>
        </w:rPr>
        <w:t>花山镇新和村经济联合社</w:t>
      </w:r>
      <w:r>
        <w:rPr>
          <w:rFonts w:hint="default" w:ascii="Times New Roman" w:hAnsi="Times New Roman" w:eastAsia="仿宋_GB2312" w:cs="Times New Roman"/>
          <w:color w:val="auto"/>
          <w:spacing w:val="6"/>
          <w:sz w:val="32"/>
          <w:szCs w:val="32"/>
          <w:highlight w:val="none"/>
          <w:u w:val="none"/>
          <w:lang w:eastAsia="zh-CN"/>
        </w:rPr>
        <w:t>、</w:t>
      </w:r>
      <w:r>
        <w:rPr>
          <w:rFonts w:hint="default" w:ascii="Times New Roman" w:hAnsi="Times New Roman" w:eastAsia="仿宋_GB2312" w:cs="Times New Roman"/>
          <w:color w:val="auto"/>
          <w:spacing w:val="6"/>
          <w:sz w:val="32"/>
          <w:szCs w:val="32"/>
          <w:highlight w:val="none"/>
          <w:u w:val="none"/>
          <w:lang w:val="en-US" w:eastAsia="zh-CN"/>
        </w:rPr>
        <w:t>第五经济合作社、</w:t>
      </w:r>
      <w:r>
        <w:rPr>
          <w:rFonts w:hint="default" w:ascii="Times New Roman" w:hAnsi="Times New Roman" w:eastAsia="仿宋_GB2312" w:cs="Times New Roman"/>
          <w:color w:val="auto"/>
          <w:spacing w:val="6"/>
          <w:sz w:val="32"/>
          <w:szCs w:val="32"/>
          <w:highlight w:val="none"/>
          <w:u w:val="none"/>
          <w:lang w:eastAsia="zh-CN"/>
        </w:rPr>
        <w:t>第十三经济合作社、第十四经济合作社</w:t>
      </w:r>
      <w:r>
        <w:rPr>
          <w:rFonts w:hint="default" w:ascii="Times New Roman" w:hAnsi="Times New Roman" w:eastAsia="仿宋_GB2312" w:cs="Times New Roman"/>
          <w:color w:val="auto"/>
          <w:spacing w:val="6"/>
          <w:sz w:val="32"/>
          <w:szCs w:val="32"/>
          <w:highlight w:val="none"/>
          <w:u w:val="none"/>
        </w:rPr>
        <w:t>属</w:t>
      </w:r>
      <w:r>
        <w:rPr>
          <w:rFonts w:hint="default" w:ascii="Times New Roman" w:hAnsi="Times New Roman" w:eastAsia="仿宋_GB2312" w:cs="Times New Roman"/>
          <w:color w:val="auto"/>
          <w:sz w:val="32"/>
          <w:szCs w:val="32"/>
          <w:highlight w:val="none"/>
          <w:u w:val="none"/>
        </w:rPr>
        <w:t>下的集体土地</w:t>
      </w:r>
      <w:r>
        <w:rPr>
          <w:rFonts w:hint="default" w:ascii="Times New Roman" w:hAnsi="Times New Roman" w:eastAsia="仿宋_GB2312" w:cs="Times New Roman"/>
          <w:color w:val="auto"/>
          <w:sz w:val="32"/>
          <w:szCs w:val="32"/>
          <w:highlight w:val="none"/>
          <w:u w:val="none"/>
          <w:lang w:val="en-US" w:eastAsia="zh-CN"/>
        </w:rPr>
        <w:t>2.8384</w:t>
      </w:r>
      <w:r>
        <w:rPr>
          <w:rFonts w:hint="default" w:ascii="Times New Roman" w:hAnsi="Times New Roman" w:eastAsia="仿宋_GB2312" w:cs="Times New Roman"/>
          <w:color w:val="auto"/>
          <w:sz w:val="32"/>
          <w:szCs w:val="32"/>
          <w:highlight w:val="none"/>
          <w:u w:val="none"/>
        </w:rPr>
        <w:t>公顷</w:t>
      </w:r>
      <w:r>
        <w:rPr>
          <w:rFonts w:hint="default" w:ascii="Times New Roman" w:hAnsi="Times New Roman" w:eastAsia="仿宋_GB2312" w:cs="Times New Roman"/>
          <w:color w:val="auto"/>
          <w:sz w:val="32"/>
          <w:szCs w:val="32"/>
          <w:highlight w:val="none"/>
          <w:u w:val="none"/>
          <w:lang w:eastAsia="zh-CN"/>
        </w:rPr>
        <w:t>，面积合计</w:t>
      </w:r>
      <w:r>
        <w:rPr>
          <w:rFonts w:hint="default" w:ascii="Times New Roman" w:hAnsi="Times New Roman" w:eastAsia="仿宋_GB2312" w:cs="Times New Roman"/>
          <w:color w:val="auto"/>
          <w:sz w:val="32"/>
          <w:szCs w:val="32"/>
          <w:highlight w:val="none"/>
          <w:u w:val="none"/>
          <w:lang w:val="en-US" w:eastAsia="zh-CN"/>
        </w:rPr>
        <w:t>2.8384公顷。</w:t>
      </w:r>
      <w:r>
        <w:rPr>
          <w:rFonts w:hint="default" w:ascii="Times New Roman" w:hAnsi="Times New Roman" w:eastAsia="仿宋_GB2312" w:cs="Times New Roman"/>
          <w:color w:val="auto"/>
          <w:sz w:val="32"/>
          <w:szCs w:val="32"/>
          <w:highlight w:val="none"/>
          <w:u w:val="none"/>
        </w:rPr>
        <w:t>根据《中华人民共和国土地管理法》第二条、第四十五条、第四十七条</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《中华人民共和国土地管理法实施条例》第二十七条、第二十八条，以及《广东省</w:t>
      </w:r>
      <w:r>
        <w:rPr>
          <w:rFonts w:hint="default" w:ascii="Times New Roman" w:hAnsi="Times New Roman" w:eastAsia="仿宋_GB2312" w:cs="Times New Roman"/>
          <w:color w:val="auto"/>
          <w:spacing w:val="6"/>
          <w:sz w:val="32"/>
          <w:szCs w:val="32"/>
          <w:highlight w:val="none"/>
          <w:u w:val="none"/>
        </w:rPr>
        <w:t>土地管理条例》第三十条等规定，结合</w:t>
      </w:r>
      <w:r>
        <w:rPr>
          <w:rFonts w:hint="default" w:ascii="Times New Roman" w:hAnsi="Times New Roman" w:eastAsia="仿宋_GB2312" w:cs="Times New Roman"/>
          <w:color w:val="auto"/>
          <w:spacing w:val="6"/>
          <w:sz w:val="32"/>
          <w:szCs w:val="32"/>
          <w:highlight w:val="none"/>
          <w:u w:val="none"/>
          <w:lang w:eastAsia="zh-CN"/>
        </w:rPr>
        <w:t>花都</w:t>
      </w:r>
      <w:r>
        <w:rPr>
          <w:rFonts w:hint="default" w:ascii="Times New Roman" w:hAnsi="Times New Roman" w:eastAsia="仿宋_GB2312" w:cs="Times New Roman"/>
          <w:color w:val="auto"/>
          <w:spacing w:val="5"/>
          <w:sz w:val="32"/>
          <w:szCs w:val="32"/>
          <w:highlight w:val="none"/>
          <w:u w:val="none"/>
        </w:rPr>
        <w:t>区的征收农用地</w:t>
      </w:r>
      <w:r>
        <w:rPr>
          <w:rFonts w:hint="default" w:ascii="Times New Roman" w:hAnsi="Times New Roman" w:eastAsia="仿宋_GB2312" w:cs="Times New Roman"/>
          <w:color w:val="auto"/>
          <w:sz w:val="32"/>
          <w:szCs w:val="32"/>
          <w:highlight w:val="none"/>
          <w:u w:val="none"/>
        </w:rPr>
        <w:t>区片综合地价和实际情况，拟定了征地补偿安置方案，具体如下：</w:t>
      </w:r>
    </w:p>
    <w:p w14:paraId="75000BE0">
      <w:pPr>
        <w:pStyle w:val="6"/>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一、征收范围</w:t>
      </w:r>
    </w:p>
    <w:p w14:paraId="76CD3C8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拟征收土地位于广州市花都区</w:t>
      </w:r>
      <w:r>
        <w:rPr>
          <w:rFonts w:hint="default" w:ascii="Times New Roman" w:hAnsi="Times New Roman" w:eastAsia="仿宋_GB2312" w:cs="Times New Roman"/>
          <w:color w:val="auto"/>
          <w:spacing w:val="-27"/>
          <w:sz w:val="32"/>
          <w:szCs w:val="32"/>
          <w:highlight w:val="none"/>
          <w:u w:val="none"/>
          <w:lang w:val="en-US" w:eastAsia="zh-CN"/>
        </w:rPr>
        <w:t>花山镇新和村经济联合社</w:t>
      </w:r>
      <w:r>
        <w:rPr>
          <w:rFonts w:hint="default" w:ascii="Times New Roman" w:hAnsi="Times New Roman" w:eastAsia="仿宋_GB2312" w:cs="Times New Roman"/>
          <w:color w:val="auto"/>
          <w:spacing w:val="6"/>
          <w:sz w:val="32"/>
          <w:szCs w:val="32"/>
          <w:highlight w:val="none"/>
          <w:u w:val="none"/>
          <w:lang w:eastAsia="zh-CN"/>
        </w:rPr>
        <w:t>、</w:t>
      </w:r>
      <w:r>
        <w:rPr>
          <w:rFonts w:hint="default" w:ascii="Times New Roman" w:hAnsi="Times New Roman" w:eastAsia="仿宋_GB2312" w:cs="Times New Roman"/>
          <w:color w:val="auto"/>
          <w:spacing w:val="6"/>
          <w:sz w:val="32"/>
          <w:szCs w:val="32"/>
          <w:highlight w:val="none"/>
          <w:u w:val="none"/>
          <w:lang w:val="en-US" w:eastAsia="zh-CN"/>
        </w:rPr>
        <w:t>第五经济合作社、</w:t>
      </w:r>
      <w:r>
        <w:rPr>
          <w:rFonts w:hint="default" w:ascii="Times New Roman" w:hAnsi="Times New Roman" w:eastAsia="仿宋_GB2312" w:cs="Times New Roman"/>
          <w:color w:val="auto"/>
          <w:spacing w:val="6"/>
          <w:sz w:val="32"/>
          <w:szCs w:val="32"/>
          <w:highlight w:val="none"/>
          <w:u w:val="none"/>
          <w:lang w:eastAsia="zh-CN"/>
        </w:rPr>
        <w:t>第十三经济合作社、第十四经济合作社</w:t>
      </w:r>
      <w:r>
        <w:rPr>
          <w:rFonts w:hint="default" w:ascii="Times New Roman" w:hAnsi="Times New Roman" w:eastAsia="仿宋_GB2312" w:cs="Times New Roman"/>
          <w:color w:val="auto"/>
          <w:sz w:val="32"/>
          <w:szCs w:val="32"/>
          <w:highlight w:val="none"/>
          <w:u w:val="none"/>
        </w:rPr>
        <w:t>范围内，具体位置详见附图。</w:t>
      </w:r>
    </w:p>
    <w:p w14:paraId="080B46B0">
      <w:pPr>
        <w:pStyle w:val="6"/>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实际征收土地范围以最终批准文件为准。</w:t>
      </w:r>
    </w:p>
    <w:p w14:paraId="362BF9B5">
      <w:pPr>
        <w:pStyle w:val="6"/>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二、征收目的</w:t>
      </w:r>
    </w:p>
    <w:p w14:paraId="47666D6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根据《中华人民共和国土地管理法》第四十五条的规定，本次征收土地目的为在国土空间总体规划确定的城镇建设用地范围内，经省级以上人民政府批准由县级以上地方人民政府组织实施的成片开发建设需要用地的。</w:t>
      </w:r>
    </w:p>
    <w:p w14:paraId="5F3FC73E">
      <w:pPr>
        <w:pStyle w:val="6"/>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三、土地现状</w:t>
      </w:r>
    </w:p>
    <w:p w14:paraId="66B4C7E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根据拟征收土地现状调查结果，拟征收土地现状为</w:t>
      </w:r>
      <w:r>
        <w:rPr>
          <w:rFonts w:hint="default" w:ascii="Times New Roman" w:hAnsi="Times New Roman" w:eastAsia="仿宋_GB2312" w:cs="Times New Roman"/>
          <w:color w:val="auto"/>
          <w:sz w:val="32"/>
          <w:szCs w:val="32"/>
          <w:highlight w:val="none"/>
          <w:u w:val="none"/>
          <w:lang w:eastAsia="zh-CN"/>
        </w:rPr>
        <w:t>：</w:t>
      </w:r>
    </w:p>
    <w:p w14:paraId="747AB25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拟征收广州市花都区花山镇新和村经济联合社、第五经济合作社、第十三经济合作社、第十四经济合作社属下的集体</w:t>
      </w:r>
      <w:r>
        <w:rPr>
          <w:rFonts w:hint="default" w:ascii="Times New Roman" w:hAnsi="Times New Roman" w:eastAsia="仿宋_GB2312" w:cs="Times New Roman"/>
          <w:color w:val="auto"/>
          <w:sz w:val="32"/>
          <w:szCs w:val="32"/>
          <w:highlight w:val="none"/>
          <w:u w:val="none"/>
          <w:lang w:eastAsia="zh-CN"/>
        </w:rPr>
        <w:t>所有</w:t>
      </w:r>
      <w:r>
        <w:rPr>
          <w:rFonts w:hint="default" w:ascii="Times New Roman" w:hAnsi="Times New Roman" w:eastAsia="仿宋_GB2312" w:cs="Times New Roman"/>
          <w:color w:val="auto"/>
          <w:sz w:val="32"/>
          <w:szCs w:val="32"/>
          <w:highlight w:val="none"/>
          <w:u w:val="none"/>
        </w:rPr>
        <w:t>土地</w:t>
      </w:r>
      <w:r>
        <w:rPr>
          <w:rFonts w:hint="default" w:ascii="Times New Roman" w:hAnsi="Times New Roman" w:eastAsia="仿宋_GB2312" w:cs="Times New Roman"/>
          <w:color w:val="auto"/>
          <w:sz w:val="32"/>
          <w:szCs w:val="32"/>
          <w:highlight w:val="none"/>
          <w:u w:val="none"/>
          <w:lang w:val="en-US" w:eastAsia="zh-CN"/>
        </w:rPr>
        <w:t>2.8384</w:t>
      </w:r>
      <w:r>
        <w:rPr>
          <w:rFonts w:hint="default" w:ascii="Times New Roman" w:hAnsi="Times New Roman" w:eastAsia="仿宋_GB2312" w:cs="Times New Roman"/>
          <w:color w:val="auto"/>
          <w:sz w:val="32"/>
          <w:szCs w:val="32"/>
          <w:highlight w:val="none"/>
          <w:u w:val="none"/>
        </w:rPr>
        <w:t>公顷</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42.5760亩</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。其中农用地</w:t>
      </w:r>
      <w:r>
        <w:rPr>
          <w:rFonts w:hint="default" w:ascii="Times New Roman" w:hAnsi="Times New Roman" w:eastAsia="仿宋_GB2312" w:cs="Times New Roman"/>
          <w:color w:val="auto"/>
          <w:sz w:val="32"/>
          <w:szCs w:val="32"/>
          <w:highlight w:val="none"/>
          <w:u w:val="none"/>
          <w:lang w:val="en-US" w:eastAsia="zh-CN"/>
        </w:rPr>
        <w:t>0.0402公顷</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0.6030</w:t>
      </w:r>
      <w:r>
        <w:rPr>
          <w:rFonts w:hint="default" w:ascii="Times New Roman" w:hAnsi="Times New Roman" w:eastAsia="仿宋_GB2312" w:cs="Times New Roman"/>
          <w:color w:val="auto"/>
          <w:sz w:val="32"/>
          <w:szCs w:val="32"/>
          <w:highlight w:val="none"/>
          <w:u w:val="none"/>
        </w:rPr>
        <w:t>亩），</w:t>
      </w:r>
      <w:r>
        <w:rPr>
          <w:rFonts w:hint="default" w:ascii="Times New Roman" w:hAnsi="Times New Roman" w:eastAsia="仿宋_GB2312" w:cs="Times New Roman"/>
          <w:color w:val="auto"/>
          <w:sz w:val="32"/>
          <w:szCs w:val="32"/>
          <w:highlight w:val="none"/>
          <w:u w:val="none"/>
          <w:lang w:eastAsia="zh-CN"/>
        </w:rPr>
        <w:t>其中</w:t>
      </w:r>
      <w:r>
        <w:rPr>
          <w:rFonts w:hint="eastAsia" w:ascii="Times New Roman" w:hAnsi="Times New Roman" w:eastAsia="仿宋_GB2312" w:cs="Times New Roman"/>
          <w:color w:val="auto"/>
          <w:sz w:val="32"/>
          <w:szCs w:val="32"/>
          <w:highlight w:val="none"/>
          <w:u w:val="none"/>
          <w:lang w:val="en-US" w:eastAsia="zh-CN"/>
        </w:rPr>
        <w:t>不涉及</w:t>
      </w:r>
      <w:r>
        <w:rPr>
          <w:rFonts w:hint="default" w:ascii="Times New Roman" w:hAnsi="Times New Roman" w:eastAsia="仿宋_GB2312" w:cs="Times New Roman"/>
          <w:color w:val="auto"/>
          <w:sz w:val="32"/>
          <w:szCs w:val="32"/>
          <w:highlight w:val="none"/>
          <w:u w:val="none"/>
        </w:rPr>
        <w:t>耕地；建设用地2</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7982公顷（</w:t>
      </w:r>
      <w:r>
        <w:rPr>
          <w:rFonts w:hint="default" w:ascii="Times New Roman" w:hAnsi="Times New Roman" w:eastAsia="仿宋_GB2312" w:cs="Times New Roman"/>
          <w:color w:val="auto"/>
          <w:sz w:val="32"/>
          <w:szCs w:val="32"/>
          <w:highlight w:val="none"/>
          <w:u w:val="none"/>
          <w:lang w:val="en-US" w:eastAsia="zh-CN"/>
        </w:rPr>
        <w:t>41.9730</w:t>
      </w:r>
      <w:r>
        <w:rPr>
          <w:rFonts w:hint="default" w:ascii="Times New Roman" w:hAnsi="Times New Roman" w:eastAsia="仿宋_GB2312" w:cs="Times New Roman"/>
          <w:color w:val="auto"/>
          <w:sz w:val="32"/>
          <w:szCs w:val="32"/>
          <w:highlight w:val="none"/>
          <w:u w:val="none"/>
        </w:rPr>
        <w:t>亩）</w:t>
      </w:r>
      <w:r>
        <w:rPr>
          <w:rFonts w:hint="default" w:ascii="Times New Roman" w:hAnsi="Times New Roman" w:eastAsia="仿宋_GB2312" w:cs="Times New Roman"/>
          <w:color w:val="auto"/>
          <w:sz w:val="32"/>
          <w:szCs w:val="32"/>
          <w:highlight w:val="none"/>
          <w:u w:val="none"/>
          <w:lang w:eastAsia="zh-CN"/>
        </w:rPr>
        <w:t>。</w:t>
      </w:r>
    </w:p>
    <w:p w14:paraId="144AC0CE">
      <w:pPr>
        <w:pStyle w:val="6"/>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四、补偿方式和标准</w:t>
      </w:r>
    </w:p>
    <w:p w14:paraId="4538B46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（一）土地补偿费和安置补助费标准。</w:t>
      </w:r>
    </w:p>
    <w:p w14:paraId="22F8C28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根据《中华人民共和国土地管理法》《广东省土地管理条例》等规定，并结合《</w:t>
      </w:r>
      <w:r>
        <w:rPr>
          <w:rFonts w:hint="default" w:ascii="Times New Roman" w:hAnsi="Times New Roman" w:eastAsia="仿宋_GB2312" w:cs="Times New Roman"/>
          <w:color w:val="auto"/>
          <w:sz w:val="32"/>
          <w:szCs w:val="32"/>
          <w:highlight w:val="none"/>
          <w:u w:val="none"/>
          <w:lang w:eastAsia="zh-CN"/>
        </w:rPr>
        <w:t>广东省自然资源厅关于</w:t>
      </w:r>
      <w:r>
        <w:rPr>
          <w:rFonts w:hint="default" w:ascii="Times New Roman" w:hAnsi="Times New Roman" w:eastAsia="仿宋_GB2312" w:cs="Times New Roman"/>
          <w:color w:val="auto"/>
          <w:sz w:val="32"/>
          <w:szCs w:val="32"/>
          <w:highlight w:val="none"/>
          <w:u w:val="none"/>
        </w:rPr>
        <w:t>广州</w:t>
      </w:r>
      <w:r>
        <w:rPr>
          <w:rFonts w:hint="default" w:ascii="Times New Roman" w:hAnsi="Times New Roman" w:eastAsia="仿宋_GB2312" w:cs="Times New Roman"/>
          <w:color w:val="auto"/>
          <w:sz w:val="32"/>
          <w:szCs w:val="32"/>
          <w:highlight w:val="none"/>
          <w:u w:val="none"/>
          <w:lang w:eastAsia="zh-CN"/>
        </w:rPr>
        <w:t>市</w:t>
      </w:r>
      <w:r>
        <w:rPr>
          <w:rFonts w:hint="default" w:ascii="Times New Roman" w:hAnsi="Times New Roman" w:eastAsia="仿宋_GB2312" w:cs="Times New Roman"/>
          <w:color w:val="auto"/>
          <w:sz w:val="32"/>
          <w:szCs w:val="32"/>
          <w:highlight w:val="none"/>
          <w:u w:val="none"/>
        </w:rPr>
        <w:t>征收农用地区片综合地价</w:t>
      </w:r>
      <w:r>
        <w:rPr>
          <w:rFonts w:hint="default" w:ascii="Times New Roman" w:hAnsi="Times New Roman" w:eastAsia="仿宋_GB2312" w:cs="Times New Roman"/>
          <w:color w:val="auto"/>
          <w:sz w:val="32"/>
          <w:szCs w:val="32"/>
          <w:highlight w:val="none"/>
          <w:u w:val="none"/>
          <w:lang w:eastAsia="zh-CN"/>
        </w:rPr>
        <w:t>成果的批复</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（粤自然资函〔202</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103号</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的规定，</w:t>
      </w:r>
      <w:r>
        <w:rPr>
          <w:rFonts w:hint="default" w:ascii="Times New Roman" w:hAnsi="Times New Roman" w:eastAsia="仿宋_GB2312" w:cs="Times New Roman"/>
          <w:color w:val="auto"/>
          <w:sz w:val="32"/>
          <w:szCs w:val="32"/>
          <w:highlight w:val="none"/>
          <w:u w:val="none"/>
          <w:lang w:eastAsia="zh-CN"/>
        </w:rPr>
        <w:t>土地补偿标准为</w:t>
      </w:r>
      <w:r>
        <w:rPr>
          <w:rFonts w:hint="default" w:ascii="Times New Roman" w:hAnsi="Times New Roman" w:eastAsia="仿宋_GB2312" w:cs="Times New Roman"/>
          <w:color w:val="auto"/>
          <w:sz w:val="32"/>
          <w:szCs w:val="32"/>
          <w:highlight w:val="none"/>
          <w:u w:val="none"/>
          <w:lang w:eastAsia="zh-CN"/>
        </w:rPr>
        <w:t>97.5</w:t>
      </w:r>
      <w:r>
        <w:rPr>
          <w:rFonts w:hint="default" w:ascii="Times New Roman" w:hAnsi="Times New Roman" w:eastAsia="仿宋_GB2312" w:cs="Times New Roman"/>
          <w:color w:val="auto"/>
          <w:sz w:val="32"/>
          <w:szCs w:val="32"/>
          <w:highlight w:val="none"/>
          <w:u w:val="none"/>
          <w:lang w:val="en-US" w:eastAsia="zh-CN"/>
        </w:rPr>
        <w:t>万元/公顷，安置补助标准为</w:t>
      </w:r>
      <w:r>
        <w:rPr>
          <w:rFonts w:hint="default" w:ascii="Times New Roman" w:hAnsi="Times New Roman" w:eastAsia="仿宋_GB2312" w:cs="Times New Roman"/>
          <w:color w:val="auto"/>
          <w:sz w:val="32"/>
          <w:szCs w:val="32"/>
          <w:highlight w:val="none"/>
          <w:u w:val="none"/>
          <w:lang w:eastAsia="zh-CN"/>
        </w:rPr>
        <w:t>97.5</w:t>
      </w:r>
      <w:r>
        <w:rPr>
          <w:rFonts w:hint="default" w:ascii="Times New Roman" w:hAnsi="Times New Roman" w:eastAsia="仿宋_GB2312" w:cs="Times New Roman"/>
          <w:color w:val="auto"/>
          <w:sz w:val="32"/>
          <w:szCs w:val="32"/>
          <w:highlight w:val="none"/>
          <w:u w:val="none"/>
          <w:lang w:val="en-US" w:eastAsia="zh-CN"/>
        </w:rPr>
        <w:t>万元/公顷。</w:t>
      </w:r>
      <w:bookmarkStart w:id="0" w:name="_GoBack"/>
      <w:bookmarkEnd w:id="0"/>
    </w:p>
    <w:p w14:paraId="18B0AA6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（二）农村村民住宅补偿</w:t>
      </w:r>
      <w:r>
        <w:rPr>
          <w:rFonts w:hint="default" w:ascii="Times New Roman" w:hAnsi="Times New Roman" w:eastAsia="仿宋_GB2312" w:cs="Times New Roman"/>
          <w:color w:val="auto"/>
          <w:sz w:val="32"/>
          <w:szCs w:val="32"/>
          <w:highlight w:val="none"/>
          <w:u w:val="none"/>
          <w:lang w:eastAsia="zh-CN"/>
        </w:rPr>
        <w:t>。</w:t>
      </w:r>
    </w:p>
    <w:p w14:paraId="084F75F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本次征地不涉及农村村民住宅补偿</w:t>
      </w:r>
      <w:r>
        <w:rPr>
          <w:rFonts w:hint="default" w:ascii="Times New Roman" w:hAnsi="Times New Roman" w:eastAsia="仿宋_GB2312" w:cs="Times New Roman"/>
          <w:b w:val="0"/>
          <w:bCs/>
          <w:snapToGrid/>
          <w:color w:val="auto"/>
          <w:spacing w:val="0"/>
          <w:kern w:val="2"/>
          <w:sz w:val="32"/>
          <w:szCs w:val="32"/>
          <w:highlight w:val="none"/>
          <w:u w:val="none"/>
          <w:lang w:val="en-US" w:eastAsia="zh-CN"/>
        </w:rPr>
        <w:t>。</w:t>
      </w:r>
    </w:p>
    <w:p w14:paraId="395278A6">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青苗及其他地上附着物补偿</w:t>
      </w:r>
      <w:r>
        <w:rPr>
          <w:rFonts w:hint="default" w:ascii="Times New Roman" w:hAnsi="Times New Roman" w:eastAsia="仿宋_GB2312" w:cs="Times New Roman"/>
          <w:color w:val="auto"/>
          <w:sz w:val="32"/>
          <w:szCs w:val="32"/>
          <w:highlight w:val="none"/>
          <w:u w:val="none"/>
          <w:lang w:eastAsia="zh-CN"/>
        </w:rPr>
        <w:t>。</w:t>
      </w:r>
    </w:p>
    <w:p w14:paraId="0EC925EB">
      <w:pPr>
        <w:pageBreakBefore w:val="0"/>
        <w:numPr>
          <w:ilvl w:val="-1"/>
          <w:numId w:val="0"/>
        </w:numPr>
        <w:kinsoku/>
        <w:wordWrap/>
        <w:overflowPunct/>
        <w:topLinePunct w:val="0"/>
        <w:autoSpaceDE/>
        <w:autoSpaceDN/>
        <w:bidi w:val="0"/>
        <w:adjustRightInd/>
        <w:spacing w:after="0" w:line="520" w:lineRule="exact"/>
        <w:ind w:firstLine="640" w:firstLineChars="200"/>
        <w:jc w:val="both"/>
        <w:textAlignment w:val="auto"/>
        <w:rPr>
          <w:rFonts w:hint="default" w:ascii="Times New Roman" w:hAnsi="Times New Roman" w:cs="Times New Roman"/>
          <w:color w:val="auto"/>
          <w:highlight w:val="none"/>
          <w:u w:val="none"/>
        </w:rPr>
      </w:pPr>
      <w:r>
        <w:rPr>
          <w:rFonts w:hint="default" w:ascii="Times New Roman" w:hAnsi="Times New Roman" w:eastAsia="仿宋_GB2312" w:cs="Times New Roman"/>
          <w:color w:val="auto"/>
          <w:sz w:val="32"/>
          <w:szCs w:val="32"/>
          <w:highlight w:val="none"/>
          <w:u w:val="none"/>
          <w:lang w:val="en-US" w:eastAsia="zh-CN"/>
        </w:rPr>
        <w:t>青苗及其他地上附着物</w:t>
      </w:r>
      <w:r>
        <w:rPr>
          <w:rFonts w:hint="default" w:ascii="Times New Roman" w:hAnsi="Times New Roman" w:eastAsia="仿宋_GB2312" w:cs="Times New Roman"/>
          <w:color w:val="auto"/>
          <w:sz w:val="32"/>
          <w:szCs w:val="32"/>
          <w:highlight w:val="none"/>
          <w:u w:val="none"/>
          <w:lang w:val="en-US" w:eastAsia="zh-CN"/>
        </w:rPr>
        <w:t>补偿</w:t>
      </w:r>
      <w:r>
        <w:rPr>
          <w:rFonts w:hint="default" w:ascii="Times New Roman" w:hAnsi="Times New Roman" w:eastAsia="仿宋_GB2312" w:cs="Times New Roman"/>
          <w:color w:val="auto"/>
          <w:sz w:val="32"/>
          <w:szCs w:val="32"/>
          <w:highlight w:val="none"/>
          <w:u w:val="none"/>
          <w:lang w:eastAsia="zh-CN"/>
        </w:rPr>
        <w:t>参照《</w:t>
      </w:r>
      <w:r>
        <w:rPr>
          <w:rFonts w:hint="default" w:ascii="Times New Roman" w:hAnsi="Times New Roman" w:eastAsia="仿宋_GB2312" w:cs="Times New Roman"/>
          <w:color w:val="auto"/>
          <w:sz w:val="32"/>
          <w:szCs w:val="32"/>
          <w:highlight w:val="none"/>
          <w:u w:val="none"/>
          <w:lang w:eastAsia="zh-CN"/>
        </w:rPr>
        <w:t>广州市花都区人民政府办公室关于印发广州市花都区</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依法征收、净地出让</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城中村改造项目农民集体所有土地征收补偿安置方案的通知</w:t>
      </w:r>
      <w:r>
        <w:rPr>
          <w:rFonts w:hint="default" w:ascii="Times New Roman" w:hAnsi="Times New Roman" w:eastAsia="仿宋_GB2312" w:cs="Times New Roman"/>
          <w:color w:val="auto"/>
          <w:sz w:val="32"/>
          <w:szCs w:val="32"/>
          <w:highlight w:val="none"/>
          <w:u w:val="none"/>
          <w:lang w:eastAsia="zh-CN"/>
        </w:rPr>
        <w:t>》（花府办〔20</w:t>
      </w:r>
      <w:r>
        <w:rPr>
          <w:rFonts w:hint="eastAsia" w:ascii="Times New Roman" w:hAnsi="Times New Roman" w:eastAsia="仿宋_GB2312" w:cs="Times New Roman"/>
          <w:color w:val="auto"/>
          <w:sz w:val="32"/>
          <w:szCs w:val="32"/>
          <w:highlight w:val="none"/>
          <w:u w:val="none"/>
          <w:lang w:eastAsia="zh-CN"/>
        </w:rPr>
        <w:t>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6</w:t>
      </w:r>
      <w:r>
        <w:rPr>
          <w:rFonts w:hint="default" w:ascii="Times New Roman" w:hAnsi="Times New Roman" w:eastAsia="仿宋_GB2312" w:cs="Times New Roman"/>
          <w:color w:val="auto"/>
          <w:sz w:val="32"/>
          <w:szCs w:val="32"/>
          <w:highlight w:val="none"/>
          <w:u w:val="none"/>
          <w:lang w:eastAsia="zh-CN"/>
        </w:rPr>
        <w:t>号）。</w:t>
      </w:r>
    </w:p>
    <w:p w14:paraId="62B7BEBB">
      <w:pPr>
        <w:pStyle w:val="6"/>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五、安置对象</w:t>
      </w:r>
    </w:p>
    <w:p w14:paraId="4764A66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color w:val="auto"/>
          <w:sz w:val="32"/>
          <w:szCs w:val="32"/>
          <w:highlight w:val="none"/>
          <w:u w:val="none"/>
          <w:lang w:eastAsia="zh-CN"/>
        </w:rPr>
        <w:t>保</w:t>
      </w:r>
      <w:r>
        <w:rPr>
          <w:rFonts w:hint="default" w:ascii="Times New Roman" w:hAnsi="Times New Roman" w:eastAsia="仿宋_GB2312" w:cs="Times New Roman"/>
          <w:color w:val="auto"/>
          <w:sz w:val="32"/>
          <w:szCs w:val="32"/>
          <w:highlight w:val="none"/>
          <w:u w:val="none"/>
        </w:rPr>
        <w:t>障。安置补助费由区人民政府按规定支付给土地所有权人，由农村财务管理部门按照省、市农村集体资产管理相关规定管理和使用。</w:t>
      </w:r>
    </w:p>
    <w:p w14:paraId="439EE8FF">
      <w:pPr>
        <w:pStyle w:val="6"/>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六、安置方式和社会保障</w:t>
      </w:r>
    </w:p>
    <w:p w14:paraId="713C0B5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（一）货币安置。所需费用已包含在土地补偿安置费中。</w:t>
      </w:r>
    </w:p>
    <w:p w14:paraId="495300F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sz w:val="32"/>
          <w:szCs w:val="32"/>
          <w:highlight w:val="none"/>
          <w:u w:val="none"/>
        </w:rPr>
        <w:t>（二）留用地安置。</w:t>
      </w:r>
      <w:r>
        <w:rPr>
          <w:rFonts w:hint="default" w:ascii="Times New Roman" w:hAnsi="Times New Roman" w:eastAsia="仿宋_GB2312" w:cs="Times New Roman"/>
          <w:color w:val="auto"/>
          <w:kern w:val="2"/>
          <w:sz w:val="32"/>
          <w:szCs w:val="32"/>
          <w:highlight w:val="none"/>
          <w:u w:val="none"/>
          <w:lang w:val="en-US" w:eastAsia="zh-CN" w:bidi="ar"/>
        </w:rPr>
        <w:t>根据</w:t>
      </w:r>
      <w:r>
        <w:rPr>
          <w:rFonts w:hint="default" w:ascii="Times New Roman" w:hAnsi="Times New Roman" w:eastAsia="仿宋_GB2312" w:cs="Times New Roman"/>
          <w:bCs/>
          <w:color w:val="auto"/>
          <w:kern w:val="2"/>
          <w:sz w:val="32"/>
          <w:szCs w:val="32"/>
          <w:highlight w:val="none"/>
          <w:u w:val="none"/>
          <w:lang w:val="en-US" w:eastAsia="zh-CN" w:bidi="ar"/>
        </w:rPr>
        <w:t>《广东省人民政府办公厅关于加强征收农村集体土地留用地安置管理工作的意见》</w:t>
      </w:r>
      <w:r>
        <w:rPr>
          <w:rFonts w:hint="default" w:ascii="Times New Roman" w:hAnsi="Times New Roman" w:eastAsia="仿宋_GB2312" w:cs="Times New Roman"/>
          <w:color w:val="auto"/>
          <w:kern w:val="2"/>
          <w:sz w:val="32"/>
          <w:szCs w:val="32"/>
          <w:highlight w:val="none"/>
          <w:u w:val="none"/>
          <w:lang w:val="en-US" w:eastAsia="zh-CN" w:bidi="ar"/>
        </w:rPr>
        <w:t>（粤</w:t>
      </w:r>
      <w:r>
        <w:rPr>
          <w:rFonts w:hint="default" w:ascii="Times New Roman" w:hAnsi="Times New Roman" w:eastAsia="仿宋_GB2312" w:cs="Times New Roman"/>
          <w:bCs/>
          <w:i w:val="0"/>
          <w:iCs w:val="0"/>
          <w:caps w:val="0"/>
          <w:color w:val="auto"/>
          <w:spacing w:val="0"/>
          <w:kern w:val="2"/>
          <w:sz w:val="32"/>
          <w:szCs w:val="32"/>
          <w:highlight w:val="none"/>
          <w:u w:val="none"/>
          <w:lang w:val="en-US" w:eastAsia="zh-CN" w:bidi="ar"/>
        </w:rPr>
        <w:t>府办</w:t>
      </w:r>
      <w:r>
        <w:rPr>
          <w:rFonts w:hint="default" w:ascii="Times New Roman" w:hAnsi="Times New Roman" w:eastAsia="仿宋_GB2312" w:cs="Times New Roman"/>
          <w:color w:val="auto"/>
          <w:kern w:val="2"/>
          <w:sz w:val="32"/>
          <w:szCs w:val="32"/>
          <w:highlight w:val="none"/>
          <w:u w:val="none"/>
          <w:lang w:val="en-US" w:eastAsia="zh-CN" w:bidi="ar"/>
        </w:rPr>
        <w:t>〔2016〕</w:t>
      </w:r>
      <w:r>
        <w:rPr>
          <w:rFonts w:hint="default" w:ascii="Times New Roman" w:hAnsi="Times New Roman" w:eastAsia="仿宋_GB2312" w:cs="Times New Roman"/>
          <w:bCs/>
          <w:color w:val="auto"/>
          <w:kern w:val="2"/>
          <w:sz w:val="32"/>
          <w:szCs w:val="32"/>
          <w:highlight w:val="none"/>
          <w:u w:val="none"/>
          <w:lang w:val="en-US" w:eastAsia="zh-CN" w:bidi="ar"/>
        </w:rPr>
        <w:t>30</w:t>
      </w:r>
      <w:r>
        <w:rPr>
          <w:rFonts w:hint="default" w:ascii="Times New Roman" w:hAnsi="Times New Roman" w:eastAsia="仿宋_GB2312" w:cs="Times New Roman"/>
          <w:color w:val="auto"/>
          <w:kern w:val="2"/>
          <w:sz w:val="32"/>
          <w:szCs w:val="32"/>
          <w:highlight w:val="none"/>
          <w:u w:val="none"/>
          <w:lang w:val="en-US" w:eastAsia="zh-CN" w:bidi="ar"/>
        </w:rPr>
        <w:t>号）的规定，按实际征收土地面积的</w:t>
      </w:r>
      <w:r>
        <w:rPr>
          <w:rFonts w:hint="default" w:ascii="Times New Roman" w:hAnsi="Times New Roman" w:eastAsia="仿宋_GB2312" w:cs="Times New Roman"/>
          <w:bCs/>
          <w:color w:val="auto"/>
          <w:kern w:val="2"/>
          <w:sz w:val="32"/>
          <w:szCs w:val="32"/>
          <w:highlight w:val="none"/>
          <w:u w:val="none"/>
          <w:lang w:val="en-US" w:eastAsia="zh-CN" w:bidi="ar"/>
        </w:rPr>
        <w:t>10</w:t>
      </w:r>
      <w:r>
        <w:rPr>
          <w:rFonts w:hint="default" w:ascii="Times New Roman" w:hAnsi="Times New Roman" w:eastAsia="仿宋_GB2312" w:cs="Times New Roman"/>
          <w:color w:val="auto"/>
          <w:kern w:val="2"/>
          <w:sz w:val="32"/>
          <w:szCs w:val="32"/>
          <w:highlight w:val="none"/>
          <w:u w:val="none"/>
          <w:lang w:val="en-US" w:eastAsia="zh-CN" w:bidi="ar"/>
        </w:rPr>
        <w:t>%，按照置换物业安排留用地。</w:t>
      </w:r>
    </w:p>
    <w:p w14:paraId="5D97BF1E">
      <w:pPr>
        <w:widowControl w:val="0"/>
        <w:tabs>
          <w:tab w:val="left" w:pos="5402"/>
        </w:tabs>
        <w:spacing w:before="10" w:after="0" w:line="520" w:lineRule="exact"/>
        <w:ind w:right="111" w:rightChars="0" w:firstLine="640" w:firstLineChars="200"/>
        <w:jc w:val="both"/>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kern w:val="2"/>
          <w:sz w:val="32"/>
          <w:szCs w:val="32"/>
          <w:highlight w:val="none"/>
          <w:u w:val="none"/>
          <w:lang w:val="en-US" w:eastAsia="zh-CN" w:bidi="ar"/>
        </w:rPr>
        <w:t>（三）社会保障。</w:t>
      </w:r>
      <w:r>
        <w:rPr>
          <w:rFonts w:hint="default" w:ascii="Times New Roman" w:hAnsi="Times New Roman" w:eastAsia="仿宋_GB2312" w:cs="Times New Roman"/>
          <w:color w:val="auto"/>
          <w:sz w:val="32"/>
          <w:szCs w:val="32"/>
          <w:highlight w:val="none"/>
          <w:u w:val="none"/>
        </w:rPr>
        <w:t>该项目征收</w:t>
      </w:r>
      <w:r>
        <w:rPr>
          <w:rFonts w:hint="default" w:ascii="Times New Roman" w:hAnsi="Times New Roman" w:eastAsia="仿宋_GB2312" w:cs="Times New Roman"/>
          <w:color w:val="auto"/>
          <w:sz w:val="32"/>
          <w:szCs w:val="32"/>
          <w:highlight w:val="none"/>
          <w:u w:val="none"/>
        </w:rPr>
        <w:t>花山镇新和村</w:t>
      </w:r>
      <w:r>
        <w:rPr>
          <w:rFonts w:hint="default" w:ascii="Times New Roman" w:hAnsi="Times New Roman" w:eastAsia="仿宋_GB2312" w:cs="Times New Roman"/>
          <w:color w:val="auto"/>
          <w:sz w:val="32"/>
          <w:szCs w:val="32"/>
          <w:highlight w:val="none"/>
          <w:u w:val="none"/>
        </w:rPr>
        <w:t>土地面积共</w:t>
      </w:r>
      <w:r>
        <w:rPr>
          <w:rFonts w:hint="default" w:ascii="Times New Roman" w:hAnsi="Times New Roman" w:eastAsia="仿宋_GB2312" w:cs="Times New Roman"/>
          <w:color w:val="auto"/>
          <w:sz w:val="32"/>
          <w:szCs w:val="32"/>
          <w:highlight w:val="none"/>
          <w:u w:val="none"/>
        </w:rPr>
        <w:t>42.5760</w:t>
      </w:r>
      <w:r>
        <w:rPr>
          <w:rFonts w:hint="default" w:ascii="Times New Roman" w:hAnsi="Times New Roman" w:eastAsia="仿宋_GB2312" w:cs="Times New Roman"/>
          <w:color w:val="auto"/>
          <w:sz w:val="32"/>
          <w:szCs w:val="32"/>
          <w:highlight w:val="none"/>
          <w:u w:val="none"/>
        </w:rPr>
        <w:t>亩，</w:t>
      </w:r>
      <w:r>
        <w:rPr>
          <w:rFonts w:hint="default" w:ascii="Times New Roman" w:hAnsi="Times New Roman" w:eastAsia="仿宋_GB2312" w:cs="Times New Roman"/>
          <w:color w:val="auto"/>
          <w:kern w:val="2"/>
          <w:sz w:val="32"/>
          <w:szCs w:val="32"/>
          <w:highlight w:val="none"/>
          <w:u w:val="none"/>
          <w:lang w:val="en-US" w:eastAsia="zh-CN" w:bidi="ar"/>
        </w:rPr>
        <w:t>根据《广东省人民政府办公厅转发省人力资源社会保障厅关于进一步完善我省被征地农民养老保障政策意见的通知》（粤府办〔2021〕22号）规定，核定该项目按</w:t>
      </w:r>
      <w:r>
        <w:rPr>
          <w:rFonts w:hint="default" w:ascii="Times New Roman" w:hAnsi="Times New Roman" w:eastAsia="仿宋_GB2312" w:cs="Times New Roman"/>
          <w:color w:val="auto"/>
          <w:kern w:val="2"/>
          <w:sz w:val="32"/>
          <w:szCs w:val="32"/>
          <w:highlight w:val="none"/>
          <w:u w:val="none"/>
          <w:lang w:val="en-US" w:eastAsia="zh-CN" w:bidi="ar"/>
        </w:rPr>
        <w:t>2.14万元/亩</w:t>
      </w:r>
      <w:r>
        <w:rPr>
          <w:rFonts w:hint="eastAsia" w:ascii="Times New Roman" w:hAnsi="Times New Roman" w:eastAsia="仿宋_GB2312" w:cs="Times New Roman"/>
          <w:color w:val="auto"/>
          <w:kern w:val="2"/>
          <w:sz w:val="32"/>
          <w:szCs w:val="32"/>
          <w:highlight w:val="none"/>
          <w:u w:val="none"/>
          <w:lang w:val="en-US" w:eastAsia="zh-CN" w:bidi="ar"/>
        </w:rPr>
        <w:t>的</w:t>
      </w:r>
      <w:r>
        <w:rPr>
          <w:rFonts w:hint="default" w:ascii="Times New Roman" w:hAnsi="Times New Roman" w:eastAsia="仿宋_GB2312" w:cs="Times New Roman"/>
          <w:color w:val="auto"/>
          <w:kern w:val="2"/>
          <w:sz w:val="32"/>
          <w:szCs w:val="32"/>
          <w:highlight w:val="none"/>
          <w:u w:val="none"/>
          <w:lang w:val="en-US" w:eastAsia="zh-CN" w:bidi="ar"/>
        </w:rPr>
        <w:t>标准一次性计提征地社保费共</w:t>
      </w:r>
      <w:r>
        <w:rPr>
          <w:rFonts w:hint="default" w:ascii="Times New Roman" w:hAnsi="Times New Roman" w:eastAsia="仿宋_GB2312" w:cs="Times New Roman"/>
          <w:color w:val="auto"/>
          <w:kern w:val="2"/>
          <w:sz w:val="32"/>
          <w:szCs w:val="32"/>
          <w:highlight w:val="none"/>
          <w:u w:val="none"/>
          <w:lang w:val="en-US" w:eastAsia="zh-CN" w:bidi="ar"/>
        </w:rPr>
        <w:t>91.13</w:t>
      </w:r>
      <w:r>
        <w:rPr>
          <w:rFonts w:hint="default" w:ascii="Times New Roman" w:hAnsi="Times New Roman" w:eastAsia="仿宋_GB2312" w:cs="Times New Roman"/>
          <w:color w:val="auto"/>
          <w:kern w:val="2"/>
          <w:sz w:val="32"/>
          <w:szCs w:val="32"/>
          <w:highlight w:val="none"/>
          <w:u w:val="none"/>
          <w:lang w:val="en-US" w:eastAsia="zh-CN" w:bidi="ar"/>
        </w:rPr>
        <w:t>万元，预存入区“收缴被征地农民养老保障资金过渡户”，专款用于被征地农民养老保障。</w:t>
      </w:r>
    </w:p>
    <w:p w14:paraId="2E72DDC4">
      <w:pPr>
        <w:pStyle w:val="6"/>
        <w:spacing w:before="0" w:line="520" w:lineRule="exact"/>
        <w:ind w:left="0" w:right="260"/>
        <w:jc w:val="righ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广州市</w:t>
      </w:r>
      <w:r>
        <w:rPr>
          <w:rFonts w:hint="default" w:ascii="Times New Roman" w:hAnsi="Times New Roman" w:eastAsia="仿宋_GB2312" w:cs="Times New Roman"/>
          <w:color w:val="auto"/>
          <w:sz w:val="32"/>
          <w:szCs w:val="32"/>
          <w:highlight w:val="none"/>
          <w:u w:val="none"/>
          <w:lang w:eastAsia="zh-CN"/>
        </w:rPr>
        <w:t>规划和自然资源局花都区分局</w:t>
      </w:r>
    </w:p>
    <w:p w14:paraId="76397E1A">
      <w:pPr>
        <w:pStyle w:val="6"/>
        <w:spacing w:line="520" w:lineRule="exact"/>
        <w:ind w:left="0" w:right="260"/>
        <w:jc w:val="cente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 xml:space="preserve">                                                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月</w:t>
      </w:r>
      <w:r>
        <w:rPr>
          <w:rFonts w:hint="eastAsia" w:ascii="Times New Roman" w:hAnsi="Times New Roman" w:eastAsia="仿宋_GB2312" w:cs="Times New Roman"/>
          <w:color w:val="auto"/>
          <w:spacing w:val="-35"/>
          <w:sz w:val="32"/>
          <w:szCs w:val="32"/>
          <w:highlight w:val="none"/>
          <w:u w:val="none"/>
          <w:lang w:val="en-US" w:eastAsia="zh-CN"/>
        </w:rPr>
        <w:t>17</w:t>
      </w:r>
      <w:r>
        <w:rPr>
          <w:rFonts w:hint="default" w:ascii="Times New Roman" w:hAnsi="Times New Roman" w:eastAsia="仿宋_GB2312" w:cs="Times New Roman"/>
          <w:color w:val="auto"/>
          <w:sz w:val="32"/>
          <w:szCs w:val="32"/>
          <w:highlight w:val="none"/>
          <w:u w:val="none"/>
        </w:rPr>
        <w:t>日</w:t>
      </w:r>
    </w:p>
    <w:sectPr>
      <w:footerReference r:id="rId5" w:type="default"/>
      <w:pgSz w:w="11910" w:h="16840"/>
      <w:pgMar w:top="2098" w:right="1474" w:bottom="1984" w:left="1587"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213C5D9-F3EA-4EE0-8793-1398785C6D3A}"/>
  </w:font>
  <w:font w:name="Adobe 黑体 Std R">
    <w:altName w:val="黑体"/>
    <w:panose1 w:val="020B0400000000000000"/>
    <w:charset w:val="80"/>
    <w:family w:val="swiss"/>
    <w:pitch w:val="default"/>
    <w:sig w:usb0="00000000" w:usb1="00000000" w:usb2="00000016" w:usb3="00000000" w:csb0="00060007" w:csb1="00000000"/>
    <w:embedRegular r:id="rId2" w:fontKey="{D288F522-92A4-446D-83FE-F8D57127A0F5}"/>
  </w:font>
  <w:font w:name="方正小标宋简体">
    <w:panose1 w:val="03000509000000000000"/>
    <w:charset w:val="86"/>
    <w:family w:val="auto"/>
    <w:pitch w:val="default"/>
    <w:sig w:usb0="00000001" w:usb1="080E0000" w:usb2="00000000" w:usb3="00000000" w:csb0="00040000" w:csb1="00000000"/>
    <w:embedRegular r:id="rId3" w:fontKey="{7D4E964B-B7CC-4DB6-B854-E781D16CBA09}"/>
  </w:font>
  <w:font w:name="仿宋_GB2312">
    <w:panose1 w:val="02010609030101010101"/>
    <w:charset w:val="86"/>
    <w:family w:val="auto"/>
    <w:pitch w:val="default"/>
    <w:sig w:usb0="00000001" w:usb1="080E0000" w:usb2="00000000" w:usb3="00000000" w:csb0="00040000" w:csb1="00000000"/>
    <w:embedRegular r:id="rId4" w:fontKey="{D5E8BBF6-4CE7-4FE3-90A9-5ACC1E5790E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F7BA">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6D04E9">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22A33E1"/>
    <w:rsid w:val="04654DC4"/>
    <w:rsid w:val="0822151D"/>
    <w:rsid w:val="08682950"/>
    <w:rsid w:val="08D61130"/>
    <w:rsid w:val="08D87341"/>
    <w:rsid w:val="0A79028B"/>
    <w:rsid w:val="0BC12118"/>
    <w:rsid w:val="0C8526F3"/>
    <w:rsid w:val="0C890300"/>
    <w:rsid w:val="0D5A4B28"/>
    <w:rsid w:val="0D630F89"/>
    <w:rsid w:val="133359F1"/>
    <w:rsid w:val="13A32529"/>
    <w:rsid w:val="161B7A15"/>
    <w:rsid w:val="162B00EE"/>
    <w:rsid w:val="16E50DE0"/>
    <w:rsid w:val="17913ABE"/>
    <w:rsid w:val="19977D8A"/>
    <w:rsid w:val="219E39B8"/>
    <w:rsid w:val="25477C36"/>
    <w:rsid w:val="29C73F17"/>
    <w:rsid w:val="2BE439BC"/>
    <w:rsid w:val="2CE5565E"/>
    <w:rsid w:val="2D160F26"/>
    <w:rsid w:val="2DCF4127"/>
    <w:rsid w:val="2F2F33BB"/>
    <w:rsid w:val="33085EB0"/>
    <w:rsid w:val="34394804"/>
    <w:rsid w:val="34CC172C"/>
    <w:rsid w:val="39A42B0C"/>
    <w:rsid w:val="3B7F12F6"/>
    <w:rsid w:val="3B8E0546"/>
    <w:rsid w:val="3D4536F5"/>
    <w:rsid w:val="40AD4EC0"/>
    <w:rsid w:val="43607C5E"/>
    <w:rsid w:val="43E478A4"/>
    <w:rsid w:val="46753A21"/>
    <w:rsid w:val="47EA5951"/>
    <w:rsid w:val="4D1F0243"/>
    <w:rsid w:val="4FDC68BF"/>
    <w:rsid w:val="50186B3E"/>
    <w:rsid w:val="505F6CEB"/>
    <w:rsid w:val="54382FF3"/>
    <w:rsid w:val="54E02594"/>
    <w:rsid w:val="5EF369C2"/>
    <w:rsid w:val="5F7D66C9"/>
    <w:rsid w:val="60ED7905"/>
    <w:rsid w:val="63714235"/>
    <w:rsid w:val="6488303F"/>
    <w:rsid w:val="64ED2421"/>
    <w:rsid w:val="664B18ED"/>
    <w:rsid w:val="671A7149"/>
    <w:rsid w:val="6DB30687"/>
    <w:rsid w:val="6F8C3791"/>
    <w:rsid w:val="708E5910"/>
    <w:rsid w:val="74470B9E"/>
    <w:rsid w:val="747B57C1"/>
    <w:rsid w:val="75B44CF4"/>
    <w:rsid w:val="768B3F84"/>
    <w:rsid w:val="76910A96"/>
    <w:rsid w:val="776500DC"/>
    <w:rsid w:val="784F37E4"/>
    <w:rsid w:val="78EA6370"/>
    <w:rsid w:val="7B055127"/>
    <w:rsid w:val="7D5135A2"/>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widowControl w:val="0"/>
      <w:ind w:firstLine="420" w:firstLineChars="200"/>
    </w:pPr>
    <w:rPr>
      <w:sz w:val="24"/>
    </w:rPr>
  </w:style>
  <w:style w:type="paragraph" w:styleId="5">
    <w:name w:val="annotation text"/>
    <w:basedOn w:val="1"/>
    <w:qFormat/>
    <w:uiPriority w:val="0"/>
    <w:pPr>
      <w:jc w:val="left"/>
    </w:pPr>
  </w:style>
  <w:style w:type="paragraph" w:styleId="6">
    <w:name w:val="Body Text"/>
    <w:basedOn w:val="1"/>
    <w:qFormat/>
    <w:uiPriority w:val="1"/>
    <w:pPr>
      <w:spacing w:before="35"/>
      <w:ind w:left="760"/>
    </w:pPr>
    <w:rPr>
      <w:rFonts w:ascii="Adobe 黑体 Std R" w:hAnsi="Adobe 黑体 Std R" w:eastAsia="Adobe 黑体 Std R"/>
      <w:sz w:val="32"/>
      <w:szCs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2011</Words>
  <Characters>2143</Characters>
  <TotalTime>1</TotalTime>
  <ScaleCrop>false</ScaleCrop>
  <LinksUpToDate>false</LinksUpToDate>
  <CharactersWithSpaces>2202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cp:lastModifiedBy>
  <cp:lastPrinted>2024-12-02T08:00:00Z</cp:lastPrinted>
  <dcterms:modified xsi:type="dcterms:W3CDTF">2025-07-14T07:56:46Z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2052-12.1.0.21915</vt:lpwstr>
  </property>
  <property fmtid="{D5CDD505-2E9C-101B-9397-08002B2CF9AE}" pid="6" name="ICV">
    <vt:lpwstr>4DFBAE58533245A6A3E6FCA55C54D6E1</vt:lpwstr>
  </property>
  <property fmtid="{D5CDD505-2E9C-101B-9397-08002B2CF9AE}" pid="7" name="KSOTemplateDocerSaveRecord">
    <vt:lpwstr>eyJoZGlkIjoiODM4NGFmNzMyMzhjMGY3YjkxZWNkM2Q0NDdhZmJkMmQiLCJ1c2VySWQiOiIzMTAyMTQ4OTYifQ==</vt:lpwstr>
  </property>
</Properties>
</file>