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25914" w14:textId="77777777" w:rsidR="00EA6BF1" w:rsidRPr="00826B40" w:rsidRDefault="00000000">
      <w:pPr>
        <w:spacing w:line="620" w:lineRule="exact"/>
        <w:rPr>
          <w:rFonts w:ascii="方正小标宋简体" w:eastAsia="方正小标宋简体" w:hAnsi="方正小标宋简体" w:cs="方正小标宋简体" w:hint="eastAsia"/>
          <w:bCs/>
          <w:color w:val="000000" w:themeColor="text1"/>
          <w:sz w:val="28"/>
          <w:szCs w:val="28"/>
        </w:rPr>
      </w:pPr>
      <w:r w:rsidRPr="00826B40">
        <w:rPr>
          <w:rFonts w:ascii="方正小标宋简体" w:eastAsia="方正小标宋简体" w:hAnsi="方正小标宋简体" w:cs="方正小标宋简体" w:hint="eastAsia"/>
          <w:bCs/>
          <w:color w:val="000000" w:themeColor="text1"/>
          <w:sz w:val="28"/>
          <w:szCs w:val="28"/>
        </w:rPr>
        <w:t>以此为准</w:t>
      </w:r>
    </w:p>
    <w:p w14:paraId="01102591" w14:textId="77777777" w:rsidR="00EA6BF1" w:rsidRDefault="0000000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广州市花都区2024年度第九十六批次城镇建设用地（</w:t>
      </w:r>
      <w:proofErr w:type="gramStart"/>
      <w:r>
        <w:rPr>
          <w:rFonts w:ascii="方正小标宋简体" w:eastAsia="方正小标宋简体" w:hAnsi="方正小标宋简体" w:cs="方正小标宋简体" w:hint="eastAsia"/>
          <w:sz w:val="44"/>
          <w:szCs w:val="44"/>
        </w:rPr>
        <w:t>花侨大道〔</w:t>
      </w:r>
      <w:proofErr w:type="gramEnd"/>
      <w:r>
        <w:rPr>
          <w:rFonts w:ascii="方正小标宋简体" w:eastAsia="方正小标宋简体" w:hAnsi="方正小标宋简体" w:cs="方正小标宋简体" w:hint="eastAsia"/>
          <w:sz w:val="44"/>
          <w:szCs w:val="44"/>
        </w:rPr>
        <w:t>国际冷链产品</w:t>
      </w:r>
    </w:p>
    <w:p w14:paraId="637DE239" w14:textId="77777777" w:rsidR="00EA6BF1" w:rsidRDefault="0000000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交易中心项目周边道路</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）项目被</w:t>
      </w:r>
    </w:p>
    <w:p w14:paraId="6F5C8789" w14:textId="77777777" w:rsidR="00EA6BF1" w:rsidRDefault="00000000">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征地农民养老保障方案</w:t>
      </w:r>
    </w:p>
    <w:p w14:paraId="4BC88E7A" w14:textId="77777777" w:rsidR="00EA6BF1" w:rsidRDefault="00000000">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680EB3F6" w14:textId="77777777" w:rsidR="00EA6BF1" w:rsidRDefault="00000000">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〔2022〕3号）等有关规定，拟定</w:t>
      </w:r>
      <w:r>
        <w:rPr>
          <w:rFonts w:ascii="仿宋_GB2312" w:hAnsi="仿宋_GB2312" w:cs="仿宋_GB2312" w:hint="eastAsia"/>
        </w:rPr>
        <w:t>广州市花都区2024年度第九十六批次城镇建设用地（</w:t>
      </w:r>
      <w:proofErr w:type="gramStart"/>
      <w:r>
        <w:rPr>
          <w:rFonts w:ascii="仿宋_GB2312" w:hAnsi="仿宋_GB2312" w:cs="仿宋_GB2312" w:hint="eastAsia"/>
        </w:rPr>
        <w:t>花侨大道</w:t>
      </w:r>
      <w:proofErr w:type="gramEnd"/>
      <w:r>
        <w:rPr>
          <w:rFonts w:ascii="仿宋_GB2312" w:hAnsi="仿宋_GB2312" w:cs="仿宋_GB2312" w:hint="eastAsia"/>
        </w:rPr>
        <w:t>〔国际冷链产品交易中心项目周边道路〕）被征地农民养老保障方案如下：</w:t>
      </w:r>
    </w:p>
    <w:p w14:paraId="171AD5D0" w14:textId="77777777" w:rsidR="00EA6BF1" w:rsidRDefault="00000000">
      <w:pPr>
        <w:ind w:firstLineChars="200" w:firstLine="640"/>
        <w:rPr>
          <w:rFonts w:ascii="仿宋_GB2312" w:hAnsi="仿宋_GB2312" w:cs="仿宋_GB2312" w:hint="eastAsia"/>
        </w:rPr>
      </w:pPr>
      <w:r>
        <w:rPr>
          <w:rFonts w:ascii="仿宋_GB2312" w:hAnsi="仿宋_GB2312" w:cs="仿宋_GB2312" w:hint="eastAsia"/>
        </w:rPr>
        <w:t>一、对广州市花都区2024年度第九十六批次城镇建设用地（</w:t>
      </w:r>
      <w:proofErr w:type="gramStart"/>
      <w:r>
        <w:rPr>
          <w:rFonts w:ascii="仿宋_GB2312" w:hAnsi="仿宋_GB2312" w:cs="仿宋_GB2312" w:hint="eastAsia"/>
        </w:rPr>
        <w:t>花侨大道</w:t>
      </w:r>
      <w:proofErr w:type="gramEnd"/>
      <w:r>
        <w:rPr>
          <w:rFonts w:ascii="仿宋_GB2312" w:hAnsi="仿宋_GB2312" w:cs="仿宋_GB2312" w:hint="eastAsia"/>
        </w:rPr>
        <w:t>〔国际冷链产品交易中心项目周边道路〕）项目涉及的被征地农民实施社会养老保障。</w:t>
      </w:r>
    </w:p>
    <w:p w14:paraId="7B89402F" w14:textId="77777777" w:rsidR="00EA6BF1" w:rsidRDefault="00000000">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依据市规划和自然资源局花都区分局</w:t>
      </w:r>
      <w:r>
        <w:rPr>
          <w:rFonts w:ascii="仿宋_GB2312" w:hAnsi="仿宋_GB2312" w:cs="仿宋_GB2312" w:hint="eastAsia"/>
        </w:rPr>
        <w:lastRenderedPageBreak/>
        <w:t>提供情况，</w:t>
      </w:r>
      <w:r>
        <w:rPr>
          <w:rFonts w:ascii="仿宋_GB2312" w:hAnsi="仿宋_GB2312" w:cs="仿宋_GB2312" w:hint="eastAsia"/>
          <w:kern w:val="0"/>
          <w:shd w:val="clear" w:color="auto" w:fill="FFFFFF"/>
          <w:lang w:bidi="ar"/>
        </w:rPr>
        <w:t>该项目征收</w:t>
      </w:r>
      <w:r>
        <w:rPr>
          <w:rFonts w:ascii="仿宋_GB2312" w:hint="eastAsia"/>
        </w:rPr>
        <w:t>我区花东镇四联村</w:t>
      </w:r>
      <w:r>
        <w:rPr>
          <w:rFonts w:ascii="仿宋_GB2312" w:hAnsi="仿宋_GB2312" w:cs="仿宋_GB2312" w:hint="eastAsia"/>
          <w:kern w:val="0"/>
          <w:shd w:val="clear" w:color="auto" w:fill="FFFFFF"/>
          <w:lang w:bidi="ar"/>
        </w:rPr>
        <w:t>土地面积共85.6095亩，</w:t>
      </w:r>
      <w:r>
        <w:rPr>
          <w:rFonts w:ascii="仿宋_GB2312" w:hAnsi="仿宋_GB2312" w:cs="仿宋_GB2312" w:hint="eastAsia"/>
        </w:rPr>
        <w:t>其中0亩属于农村集体经济组织留用地，征地双方已于2024年11月全部完成签订征地补偿安置协议。该项目征地社保费应按2.14万元/亩的标准计提（即征地补偿安置方案制定时，我区每亩平均征收农用地综合区片地价13.33万元/亩的16%），其中0亩属于农村集体经济组织留用地，按规定不计提征地社保费，需计提费用共</w:t>
      </w:r>
      <w:r w:rsidRPr="00826B40">
        <w:rPr>
          <w:rFonts w:ascii="仿宋_GB2312" w:hAnsi="仿宋_GB2312" w:cs="仿宋_GB2312" w:hint="eastAsia"/>
          <w:color w:val="000000" w:themeColor="text1"/>
        </w:rPr>
        <w:t>183.22万</w:t>
      </w:r>
      <w:r>
        <w:rPr>
          <w:rFonts w:ascii="仿宋_GB2312" w:hAnsi="仿宋_GB2312" w:cs="仿宋_GB2312" w:hint="eastAsia"/>
        </w:rPr>
        <w:t>元由征地主体（用地单位）一次性预存入我区人力资源社会保障部门开设的“收缴被征地农民养老保障资金过渡户”，单列计提并计入征地成本，纳入工程项目概算。</w:t>
      </w:r>
    </w:p>
    <w:p w14:paraId="5B70510B" w14:textId="77777777" w:rsidR="00EA6BF1" w:rsidRDefault="00000000">
      <w:pPr>
        <w:ind w:firstLineChars="200" w:firstLine="640"/>
        <w:rPr>
          <w:rFonts w:ascii="仿宋_GB2312" w:eastAsia="黑体" w:hAnsi="仿宋_GB2312" w:cs="仿宋_GB2312" w:hint="eastAsia"/>
        </w:rPr>
      </w:pPr>
      <w:r>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7EE20A81" w14:textId="77777777" w:rsidR="00EA6BF1" w:rsidRDefault="00000000">
      <w:pPr>
        <w:ind w:firstLineChars="200" w:firstLine="640"/>
        <w:rPr>
          <w:rFonts w:ascii="仿宋_GB2312" w:hAnsi="仿宋_GB2312" w:cs="仿宋_GB2312" w:hint="eastAsia"/>
        </w:rPr>
      </w:pPr>
      <w:r>
        <w:rPr>
          <w:rFonts w:ascii="仿宋_GB2312" w:hAnsi="仿宋_GB2312" w:cs="仿宋_GB2312" w:hint="eastAsia"/>
        </w:rPr>
        <w:t>四、征地社保费分配。一是</w:t>
      </w:r>
      <w:r>
        <w:rPr>
          <w:rFonts w:ascii="仿宋_GB2312" w:hAnsi="仿宋_GB2312" w:cs="仿宋_GB2312"/>
        </w:rPr>
        <w:t>征地社保费</w:t>
      </w:r>
      <w:r>
        <w:rPr>
          <w:rFonts w:ascii="仿宋_GB2312" w:hAnsi="仿宋_GB2312" w:cs="仿宋_GB2312" w:hint="eastAsia"/>
        </w:rPr>
        <w:t>专款用于被征地农民的基本养老保险补贴。二是落实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”和“在项目获批后3个月内完成资金分配工作，落实参保到人”的有关规定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乡镇人民政府（街道办事处）按规定牵</w:t>
      </w:r>
      <w:r>
        <w:rPr>
          <w:rFonts w:ascii="仿宋_GB2312" w:hAnsi="仿宋_GB2312" w:cs="仿宋_GB2312" w:hint="eastAsia"/>
        </w:rPr>
        <w:lastRenderedPageBreak/>
        <w:t>头做好被征地农民的失地面积及纳入征地社保费补贴范围的人数和对象审核、报送工作，及时报送所属</w:t>
      </w:r>
      <w:r>
        <w:t>社会保险经办部门</w:t>
      </w:r>
      <w:r>
        <w:rPr>
          <w:rFonts w:ascii="仿宋_GB2312" w:hAnsi="仿宋_GB2312" w:cs="仿宋_GB2312" w:hint="eastAsia"/>
        </w:rPr>
        <w:t>办理社保手续。</w:t>
      </w:r>
    </w:p>
    <w:p w14:paraId="40B9EC34" w14:textId="77777777" w:rsidR="00EA6BF1" w:rsidRDefault="00EA6BF1">
      <w:pPr>
        <w:pStyle w:val="a0"/>
        <w:ind w:firstLineChars="0" w:firstLine="0"/>
      </w:pPr>
    </w:p>
    <w:p w14:paraId="37A74BC0" w14:textId="77777777" w:rsidR="00EA6BF1" w:rsidRDefault="00000000">
      <w:pPr>
        <w:spacing w:line="560" w:lineRule="exact"/>
        <w:ind w:firstLineChars="200" w:firstLine="640"/>
        <w:rPr>
          <w:rFonts w:ascii="仿宋_GB2312" w:hAnsi="仿宋_GB2312" w:cs="仿宋_GB2312" w:hint="eastAsia"/>
        </w:rPr>
      </w:pPr>
      <w:r>
        <w:rPr>
          <w:rFonts w:ascii="仿宋_GB2312" w:hAnsi="仿宋_GB2312" w:cs="仿宋_GB2312" w:hint="eastAsia"/>
        </w:rPr>
        <w:t>附件：征地土地和养老保障情况表</w:t>
      </w:r>
    </w:p>
    <w:p w14:paraId="2811DBD2" w14:textId="77777777" w:rsidR="00EA6BF1" w:rsidRDefault="00000000">
      <w:pPr>
        <w:ind w:firstLineChars="200" w:firstLine="640"/>
        <w:rPr>
          <w:rFonts w:ascii="仿宋_GB2312" w:hAnsi="仿宋_GB2312" w:cs="仿宋_GB2312" w:hint="eastAsia"/>
        </w:rPr>
      </w:pPr>
      <w:r>
        <w:rPr>
          <w:rFonts w:ascii="仿宋_GB2312" w:hAnsi="仿宋_GB2312" w:cs="仿宋_GB2312" w:hint="eastAsia"/>
        </w:rPr>
        <w:t xml:space="preserve">  </w:t>
      </w:r>
    </w:p>
    <w:p w14:paraId="502ABD50" w14:textId="77777777" w:rsidR="00EA6BF1" w:rsidRDefault="00EA6BF1">
      <w:pPr>
        <w:rPr>
          <w:rFonts w:ascii="仿宋_GB2312" w:hAnsi="仿宋_GB2312" w:cs="仿宋_GB2312" w:hint="eastAsia"/>
        </w:rPr>
      </w:pPr>
    </w:p>
    <w:p w14:paraId="12AD7E7B" w14:textId="77777777" w:rsidR="00EA6BF1" w:rsidRDefault="00EA6BF1">
      <w:pPr>
        <w:pStyle w:val="a0"/>
        <w:ind w:firstLine="640"/>
      </w:pPr>
    </w:p>
    <w:p w14:paraId="24D9F50D" w14:textId="77777777" w:rsidR="00EA6BF1" w:rsidRDefault="00000000">
      <w:pPr>
        <w:ind w:firstLineChars="1000" w:firstLine="3200"/>
        <w:rPr>
          <w:rFonts w:ascii="仿宋_GB2312" w:hAnsi="仿宋_GB2312" w:cs="仿宋_GB2312" w:hint="eastAsia"/>
        </w:rPr>
      </w:pPr>
      <w:r>
        <w:rPr>
          <w:rFonts w:ascii="仿宋_GB2312" w:hAnsi="仿宋_GB2312" w:cs="仿宋_GB2312" w:hint="eastAsia"/>
        </w:rPr>
        <w:t>广州市花都区人力资源和社会保障局</w:t>
      </w:r>
    </w:p>
    <w:p w14:paraId="589AA852" w14:textId="77777777" w:rsidR="00EA6BF1" w:rsidRDefault="00000000">
      <w:pPr>
        <w:rPr>
          <w:rFonts w:ascii="仿宋_GB2312" w:hAnsi="仿宋_GB2312" w:cs="仿宋_GB2312" w:hint="eastAsia"/>
          <w:color w:val="FF0000"/>
          <w:kern w:val="0"/>
          <w:shd w:val="clear" w:color="auto" w:fill="FFFFFF"/>
          <w:lang w:bidi="ar"/>
        </w:rPr>
      </w:pPr>
      <w:r>
        <w:rPr>
          <w:rFonts w:ascii="仿宋_GB2312" w:hAnsi="仿宋_GB2312" w:cs="仿宋_GB2312" w:hint="eastAsia"/>
        </w:rPr>
        <w:t xml:space="preserve">                            </w:t>
      </w:r>
      <w:r w:rsidRPr="00826B40">
        <w:rPr>
          <w:rFonts w:ascii="仿宋_GB2312" w:hAnsi="仿宋_GB2312" w:cs="仿宋_GB2312" w:hint="eastAsia"/>
          <w:color w:val="000000" w:themeColor="text1"/>
        </w:rPr>
        <w:t xml:space="preserve">  2025年6月</w:t>
      </w:r>
      <w:r w:rsidRPr="00826B40">
        <w:rPr>
          <w:rFonts w:ascii="仿宋_GB2312" w:hAnsi="仿宋_GB2312" w:cs="仿宋_GB2312" w:hint="eastAsia"/>
          <w:color w:val="000000" w:themeColor="text1"/>
          <w:kern w:val="0"/>
          <w:shd w:val="clear" w:color="auto" w:fill="FFFFFF"/>
          <w:lang w:bidi="ar"/>
        </w:rPr>
        <w:t>11日</w:t>
      </w:r>
    </w:p>
    <w:p w14:paraId="40383F42" w14:textId="77777777" w:rsidR="00EA6BF1" w:rsidRDefault="00EA6BF1">
      <w:pPr>
        <w:pStyle w:val="a0"/>
        <w:ind w:firstLine="640"/>
        <w:rPr>
          <w:rFonts w:ascii="仿宋_GB2312" w:hAnsi="仿宋_GB2312" w:cs="仿宋_GB2312" w:hint="eastAsia"/>
          <w:color w:val="FF0000"/>
          <w:kern w:val="0"/>
          <w:shd w:val="clear" w:color="auto" w:fill="FFFFFF"/>
          <w:lang w:bidi="ar"/>
        </w:rPr>
      </w:pPr>
    </w:p>
    <w:p w14:paraId="48DFAF47" w14:textId="77777777" w:rsidR="00EA6BF1" w:rsidRDefault="00EA6BF1"/>
    <w:p w14:paraId="48540AA3" w14:textId="77777777" w:rsidR="00EA6BF1" w:rsidRDefault="00EA6BF1">
      <w:pPr>
        <w:rPr>
          <w:rFonts w:ascii="黑体" w:eastAsia="黑体" w:hAnsi="黑体" w:cs="黑体" w:hint="eastAsia"/>
        </w:rPr>
      </w:pPr>
    </w:p>
    <w:p w14:paraId="5B28F2DE" w14:textId="77777777" w:rsidR="00EA6BF1" w:rsidRDefault="00EA6BF1">
      <w:pPr>
        <w:rPr>
          <w:rFonts w:ascii="黑体" w:eastAsia="黑体" w:hAnsi="黑体" w:cs="黑体" w:hint="eastAsia"/>
        </w:rPr>
      </w:pPr>
    </w:p>
    <w:p w14:paraId="4CFA1ED1" w14:textId="77777777" w:rsidR="00EA6BF1" w:rsidRDefault="00EA6BF1">
      <w:pPr>
        <w:rPr>
          <w:rFonts w:ascii="黑体" w:eastAsia="黑体" w:hAnsi="黑体" w:cs="黑体" w:hint="eastAsia"/>
        </w:rPr>
      </w:pPr>
    </w:p>
    <w:p w14:paraId="327D0E8B" w14:textId="77777777" w:rsidR="00EA6BF1" w:rsidRDefault="00EA6BF1">
      <w:pPr>
        <w:rPr>
          <w:rFonts w:ascii="黑体" w:eastAsia="黑体" w:hAnsi="黑体" w:cs="黑体" w:hint="eastAsia"/>
        </w:rPr>
      </w:pPr>
    </w:p>
    <w:p w14:paraId="02A3C371" w14:textId="77777777" w:rsidR="00EA6BF1" w:rsidRDefault="00EA6BF1">
      <w:pPr>
        <w:rPr>
          <w:rFonts w:ascii="黑体" w:eastAsia="黑体" w:hAnsi="黑体" w:cs="黑体" w:hint="eastAsia"/>
        </w:rPr>
      </w:pPr>
    </w:p>
    <w:p w14:paraId="5F8D6A77" w14:textId="77777777" w:rsidR="00EA6BF1" w:rsidRDefault="00EA6BF1">
      <w:pPr>
        <w:rPr>
          <w:rFonts w:ascii="黑体" w:eastAsia="黑体" w:hAnsi="黑体" w:cs="黑体" w:hint="eastAsia"/>
        </w:rPr>
      </w:pPr>
    </w:p>
    <w:p w14:paraId="4F3A3BB6" w14:textId="77777777" w:rsidR="00EA6BF1" w:rsidRDefault="00EA6BF1">
      <w:pPr>
        <w:rPr>
          <w:rFonts w:ascii="黑体" w:eastAsia="黑体" w:hAnsi="黑体" w:cs="黑体" w:hint="eastAsia"/>
        </w:rPr>
      </w:pPr>
    </w:p>
    <w:p w14:paraId="081195DA" w14:textId="77777777" w:rsidR="00EA6BF1" w:rsidRDefault="00EA6BF1">
      <w:pPr>
        <w:rPr>
          <w:rFonts w:ascii="黑体" w:eastAsia="黑体" w:hAnsi="黑体" w:cs="黑体" w:hint="eastAsia"/>
        </w:rPr>
      </w:pPr>
    </w:p>
    <w:p w14:paraId="25AE92C8" w14:textId="77777777" w:rsidR="00EA6BF1" w:rsidRDefault="00EA6BF1">
      <w:pPr>
        <w:rPr>
          <w:rFonts w:ascii="黑体" w:eastAsia="黑体" w:hAnsi="黑体" w:cs="黑体" w:hint="eastAsia"/>
        </w:rPr>
      </w:pPr>
    </w:p>
    <w:p w14:paraId="3541BA2E" w14:textId="77777777" w:rsidR="00EA6BF1" w:rsidRDefault="00EA6BF1">
      <w:pPr>
        <w:rPr>
          <w:rFonts w:ascii="黑体" w:eastAsia="黑体" w:hAnsi="黑体" w:cs="黑体" w:hint="eastAsia"/>
        </w:rPr>
      </w:pPr>
    </w:p>
    <w:p w14:paraId="3590410A" w14:textId="77777777" w:rsidR="00EA6BF1" w:rsidRDefault="00000000">
      <w:pPr>
        <w:rPr>
          <w:rFonts w:ascii="黑体" w:eastAsia="黑体" w:hAnsi="黑体" w:cs="黑体" w:hint="eastAsia"/>
        </w:rPr>
      </w:pPr>
      <w:r>
        <w:rPr>
          <w:rFonts w:ascii="黑体" w:eastAsia="黑体" w:hAnsi="黑体" w:cs="黑体" w:hint="eastAsia"/>
        </w:rPr>
        <w:t>附件</w:t>
      </w:r>
    </w:p>
    <w:p w14:paraId="7A1BFDA9" w14:textId="77777777" w:rsidR="00EA6BF1" w:rsidRDefault="00000000">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1EDF4537" w14:textId="77777777" w:rsidR="00EA6BF1" w:rsidRDefault="00000000">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846"/>
        <w:gridCol w:w="1703"/>
        <w:gridCol w:w="1843"/>
      </w:tblGrid>
      <w:tr w:rsidR="00EA6BF1" w14:paraId="5B43FB68"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766F1C87"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846" w:type="dxa"/>
            <w:tcBorders>
              <w:top w:val="single" w:sz="4" w:space="0" w:color="auto"/>
              <w:left w:val="single" w:sz="4" w:space="0" w:color="auto"/>
              <w:bottom w:val="single" w:sz="4" w:space="0" w:color="auto"/>
              <w:right w:val="single" w:sz="4" w:space="0" w:color="auto"/>
            </w:tcBorders>
            <w:vAlign w:val="center"/>
          </w:tcPr>
          <w:p w14:paraId="1FA6672C"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D0CDD6"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5E757630"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EA6BF1" w14:paraId="627F258E" w14:textId="77777777">
        <w:trPr>
          <w:trHeight w:val="765"/>
          <w:jc w:val="center"/>
        </w:trPr>
        <w:tc>
          <w:tcPr>
            <w:tcW w:w="1313" w:type="dxa"/>
            <w:vMerge w:val="restart"/>
            <w:tcBorders>
              <w:top w:val="single" w:sz="4" w:space="0" w:color="auto"/>
              <w:right w:val="single" w:sz="4" w:space="0" w:color="auto"/>
            </w:tcBorders>
            <w:vAlign w:val="center"/>
          </w:tcPr>
          <w:p w14:paraId="5A10BB2B"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花东镇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E93A29"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四联村经济联合社</w:t>
            </w:r>
          </w:p>
        </w:tc>
        <w:tc>
          <w:tcPr>
            <w:tcW w:w="1846" w:type="dxa"/>
            <w:tcBorders>
              <w:top w:val="single" w:sz="4" w:space="0" w:color="auto"/>
              <w:left w:val="single" w:sz="4" w:space="0" w:color="auto"/>
              <w:bottom w:val="single" w:sz="4" w:space="0" w:color="auto"/>
              <w:right w:val="single" w:sz="4" w:space="0" w:color="auto"/>
            </w:tcBorders>
            <w:vAlign w:val="center"/>
          </w:tcPr>
          <w:p w14:paraId="6469130E"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9.4500</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0CE9F6"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0784F18"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20.23</w:t>
            </w:r>
          </w:p>
        </w:tc>
      </w:tr>
      <w:tr w:rsidR="00EA6BF1" w14:paraId="100CE337" w14:textId="77777777">
        <w:trPr>
          <w:trHeight w:val="765"/>
          <w:jc w:val="center"/>
        </w:trPr>
        <w:tc>
          <w:tcPr>
            <w:tcW w:w="1313" w:type="dxa"/>
            <w:vMerge/>
            <w:tcBorders>
              <w:right w:val="single" w:sz="4" w:space="0" w:color="auto"/>
            </w:tcBorders>
            <w:vAlign w:val="center"/>
          </w:tcPr>
          <w:p w14:paraId="42D0B09F"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149D26"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四联村第二经济合作社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40DDAF65"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26.0745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9E8172"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2D8BE64"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55.80</w:t>
            </w:r>
          </w:p>
        </w:tc>
      </w:tr>
      <w:tr w:rsidR="00EA6BF1" w14:paraId="07ED06F8" w14:textId="77777777">
        <w:trPr>
          <w:trHeight w:val="765"/>
          <w:jc w:val="center"/>
        </w:trPr>
        <w:tc>
          <w:tcPr>
            <w:tcW w:w="1313" w:type="dxa"/>
            <w:vMerge/>
            <w:tcBorders>
              <w:right w:val="single" w:sz="4" w:space="0" w:color="auto"/>
            </w:tcBorders>
            <w:vAlign w:val="center"/>
          </w:tcPr>
          <w:p w14:paraId="59756323"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690B5D"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四联村第三经济合作社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63E59380"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21.6390</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586F7C"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0B9EE05"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46.31</w:t>
            </w:r>
          </w:p>
        </w:tc>
      </w:tr>
      <w:tr w:rsidR="00EA6BF1" w14:paraId="4B95DD9C" w14:textId="77777777">
        <w:trPr>
          <w:trHeight w:val="765"/>
          <w:jc w:val="center"/>
        </w:trPr>
        <w:tc>
          <w:tcPr>
            <w:tcW w:w="1313" w:type="dxa"/>
            <w:vMerge/>
            <w:tcBorders>
              <w:right w:val="single" w:sz="4" w:space="0" w:color="auto"/>
            </w:tcBorders>
            <w:vAlign w:val="center"/>
          </w:tcPr>
          <w:p w14:paraId="2B3100B5"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F4E477"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四联村第五经济合作社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7AED725B"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5.0085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49180E"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92C8277"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10.72</w:t>
            </w:r>
          </w:p>
        </w:tc>
      </w:tr>
      <w:tr w:rsidR="00EA6BF1" w14:paraId="0C6ACFA7" w14:textId="77777777">
        <w:trPr>
          <w:trHeight w:val="765"/>
          <w:jc w:val="center"/>
        </w:trPr>
        <w:tc>
          <w:tcPr>
            <w:tcW w:w="1313" w:type="dxa"/>
            <w:vMerge/>
            <w:tcBorders>
              <w:right w:val="single" w:sz="4" w:space="0" w:color="auto"/>
            </w:tcBorders>
            <w:vAlign w:val="center"/>
          </w:tcPr>
          <w:p w14:paraId="4F637400" w14:textId="77777777" w:rsidR="00EA6BF1" w:rsidRDefault="00EA6BF1">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660508"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四联村第七经济合作社</w:t>
            </w:r>
          </w:p>
        </w:tc>
        <w:tc>
          <w:tcPr>
            <w:tcW w:w="1846" w:type="dxa"/>
            <w:tcBorders>
              <w:top w:val="single" w:sz="4" w:space="0" w:color="auto"/>
              <w:left w:val="single" w:sz="4" w:space="0" w:color="auto"/>
              <w:bottom w:val="single" w:sz="4" w:space="0" w:color="auto"/>
              <w:right w:val="single" w:sz="4" w:space="0" w:color="auto"/>
            </w:tcBorders>
            <w:vAlign w:val="center"/>
          </w:tcPr>
          <w:p w14:paraId="25DBE65D"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23.4375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214B31"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84E3C45"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50.16</w:t>
            </w:r>
          </w:p>
        </w:tc>
      </w:tr>
      <w:tr w:rsidR="00EA6BF1" w14:paraId="2B5DF1AA"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78ACFE6E" w14:textId="77777777" w:rsidR="00EA6BF1" w:rsidRDefault="00000000">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846" w:type="dxa"/>
            <w:tcBorders>
              <w:top w:val="single" w:sz="4" w:space="0" w:color="auto"/>
              <w:left w:val="single" w:sz="4" w:space="0" w:color="auto"/>
              <w:bottom w:val="single" w:sz="4" w:space="0" w:color="auto"/>
              <w:right w:val="single" w:sz="4" w:space="0" w:color="auto"/>
            </w:tcBorders>
            <w:vAlign w:val="center"/>
          </w:tcPr>
          <w:p w14:paraId="1FA9C046"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85.6095</w:t>
            </w:r>
          </w:p>
        </w:tc>
        <w:tc>
          <w:tcPr>
            <w:tcW w:w="170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42024A"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55EA7F3" w14:textId="77777777" w:rsidR="00EA6BF1" w:rsidRDefault="00000000">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183.22</w:t>
            </w:r>
          </w:p>
        </w:tc>
      </w:tr>
    </w:tbl>
    <w:p w14:paraId="4E0CDF2C" w14:textId="77777777" w:rsidR="00EA6BF1" w:rsidRDefault="00000000">
      <w:pPr>
        <w:spacing w:line="320" w:lineRule="exact"/>
        <w:ind w:right="210"/>
        <w:jc w:val="left"/>
        <w:rPr>
          <w:sz w:val="24"/>
          <w:szCs w:val="28"/>
        </w:rPr>
      </w:pPr>
      <w:r>
        <w:rPr>
          <w:rFonts w:hint="eastAsia"/>
          <w:sz w:val="24"/>
          <w:szCs w:val="28"/>
        </w:rPr>
        <w:t>备注：该项目按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EDA81B6" w14:textId="77777777" w:rsidR="00EA6BF1" w:rsidRDefault="00EA6BF1"/>
    <w:p w14:paraId="7FAEFE14" w14:textId="77777777" w:rsidR="00EA6BF1" w:rsidRDefault="00EA6BF1">
      <w:pPr>
        <w:pStyle w:val="a0"/>
        <w:ind w:firstLine="640"/>
      </w:pPr>
    </w:p>
    <w:sectPr w:rsidR="00EA6BF1">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EC77" w14:textId="77777777" w:rsidR="008E27EC" w:rsidRDefault="008E27EC">
      <w:r>
        <w:separator/>
      </w:r>
    </w:p>
  </w:endnote>
  <w:endnote w:type="continuationSeparator" w:id="0">
    <w:p w14:paraId="323BC486" w14:textId="77777777" w:rsidR="008E27EC" w:rsidRDefault="008E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6423" w14:textId="77777777" w:rsidR="00EA6BF1" w:rsidRDefault="00000000">
    <w:pPr>
      <w:pStyle w:val="a4"/>
    </w:pPr>
    <w:r>
      <w:rPr>
        <w:noProof/>
      </w:rPr>
      <mc:AlternateContent>
        <mc:Choice Requires="wps">
          <w:drawing>
            <wp:anchor distT="0" distB="0" distL="114300" distR="114300" simplePos="0" relativeHeight="251659264" behindDoc="0" locked="0" layoutInCell="1" allowOverlap="1" wp14:anchorId="5E297DBF" wp14:editId="78C9E94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6D095" w14:textId="77777777" w:rsidR="00EA6BF1"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297DB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506D095" w14:textId="77777777" w:rsidR="00EA6BF1"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A23C5" w14:textId="77777777" w:rsidR="008E27EC" w:rsidRDefault="008E27EC">
      <w:r>
        <w:separator/>
      </w:r>
    </w:p>
  </w:footnote>
  <w:footnote w:type="continuationSeparator" w:id="0">
    <w:p w14:paraId="0EA5FAB9" w14:textId="77777777" w:rsidR="008E27EC" w:rsidRDefault="008E27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826B40"/>
    <w:rsid w:val="008E27EC"/>
    <w:rsid w:val="009204CD"/>
    <w:rsid w:val="00EA6BF1"/>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5418C6"/>
    <w:rsid w:val="28702BCD"/>
    <w:rsid w:val="2A015B73"/>
    <w:rsid w:val="2B972895"/>
    <w:rsid w:val="2DAF2E8F"/>
    <w:rsid w:val="35F746F3"/>
    <w:rsid w:val="36EF346B"/>
    <w:rsid w:val="372B262C"/>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9E7106D"/>
    <w:rsid w:val="4A8B480A"/>
    <w:rsid w:val="4C363821"/>
    <w:rsid w:val="56293227"/>
    <w:rsid w:val="57300FC0"/>
    <w:rsid w:val="57B071EF"/>
    <w:rsid w:val="595E5E5B"/>
    <w:rsid w:val="5A666CB6"/>
    <w:rsid w:val="5D7072F6"/>
    <w:rsid w:val="5D722B54"/>
    <w:rsid w:val="5FE43DCD"/>
    <w:rsid w:val="614340C8"/>
    <w:rsid w:val="623D0AC8"/>
    <w:rsid w:val="64127CE3"/>
    <w:rsid w:val="64374311"/>
    <w:rsid w:val="647F43E7"/>
    <w:rsid w:val="65A9621A"/>
    <w:rsid w:val="66177D25"/>
    <w:rsid w:val="6910044C"/>
    <w:rsid w:val="69B87A02"/>
    <w:rsid w:val="72270D40"/>
    <w:rsid w:val="727A3680"/>
    <w:rsid w:val="72C048A2"/>
    <w:rsid w:val="7451241A"/>
    <w:rsid w:val="748706FC"/>
    <w:rsid w:val="79A963F5"/>
    <w:rsid w:val="7A301722"/>
    <w:rsid w:val="7A4A27FD"/>
    <w:rsid w:val="7C1546B9"/>
    <w:rsid w:val="7C376A40"/>
    <w:rsid w:val="7D384D60"/>
    <w:rsid w:val="7DA115D2"/>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3F7CB"/>
  <w15:docId w15:val="{EF12869A-9536-4DEB-8FEF-00075A0E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2025-06-13T03:25:00Z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CEC0F9F12C5A44A5A1257716B4084CD6_13</vt:lpwstr>
  </property>
</Properties>
</file>