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cs="仿宋_GB2312"/>
          <w:color w:val="auto"/>
          <w:kern w:val="0"/>
          <w:shd w:val="clear" w:color="auto" w:fill="FFFFFF"/>
          <w:lang w:eastAsia="zh-CN" w:bidi="ar"/>
        </w:rPr>
      </w:pPr>
      <w:bookmarkStart w:id="4" w:name="_GoBack"/>
      <w:r>
        <w:rPr>
          <w:rFonts w:hint="eastAsia" w:ascii="仿宋_GB2312" w:hAnsi="仿宋_GB2312" w:cs="仿宋_GB2312"/>
          <w:color w:val="auto"/>
          <w:kern w:val="0"/>
          <w:shd w:val="clear" w:color="auto" w:fill="FFFFFF"/>
          <w:lang w:eastAsia="zh-CN" w:bidi="ar"/>
        </w:rPr>
        <w:t>以此为准</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广州市花都区2025年度第二十四批次城镇建设用地（芙蓉大道东三地块）</w:t>
      </w:r>
      <w:r>
        <w:rPr>
          <w:rFonts w:hint="eastAsia" w:ascii="方正小标宋简体" w:hAnsi="方正小标宋简体" w:eastAsia="方正小标宋简体" w:cs="方正小标宋简体"/>
          <w:color w:val="auto"/>
          <w:sz w:val="44"/>
          <w:szCs w:val="44"/>
          <w:lang w:eastAsia="zh-CN"/>
        </w:rPr>
        <w:t>项目</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pPr>
        <w:pStyle w:val="2"/>
        <w:jc w:val="center"/>
        <w:rPr>
          <w:rFonts w:hint="eastAsia"/>
          <w:color w:val="auto"/>
          <w:lang w:eastAsia="zh-CN"/>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广州市花都区2025年度第二十四批次城镇建设用地（芙蓉大道东三地块）</w:t>
      </w:r>
      <w:r>
        <w:rPr>
          <w:rFonts w:hint="eastAsia" w:ascii="仿宋_GB2312" w:hAnsi="仿宋_GB2312" w:eastAsia="仿宋_GB2312" w:cs="仿宋_GB2312"/>
          <w:color w:val="auto"/>
          <w:lang w:val="en-US" w:eastAsia="zh-CN"/>
        </w:rPr>
        <w:t>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广州市花都区2025年度第二十四批次城镇建设用地（芙蓉大道东三地块）</w:t>
      </w:r>
      <w:r>
        <w:rPr>
          <w:rFonts w:hint="eastAsia" w:ascii="仿宋_GB2312" w:hAnsi="仿宋_GB2312" w:eastAsia="仿宋_GB2312" w:cs="仿宋_GB2312"/>
          <w:color w:val="auto"/>
          <w:lang w:val="en-US" w:eastAsia="zh-CN"/>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bookmarkStart w:id="0" w:name="OLE_LINK2"/>
      <w:bookmarkStart w:id="1" w:name="OLE_LINK3"/>
      <w:r>
        <w:rPr>
          <w:rFonts w:hint="eastAsia" w:ascii="仿宋_GB2312"/>
          <w:color w:val="auto"/>
          <w:sz w:val="32"/>
          <w:szCs w:val="32"/>
          <w:u w:val="none"/>
          <w:lang w:eastAsia="zh-CN"/>
        </w:rPr>
        <w:t>花城街长岗村、杨一村、东边村</w:t>
      </w:r>
      <w:bookmarkEnd w:id="0"/>
      <w:r>
        <w:rPr>
          <w:rFonts w:hint="eastAsia" w:ascii="仿宋_GB2312" w:hAnsi="仿宋_GB2312" w:cs="仿宋_GB2312"/>
          <w:i w:val="0"/>
          <w:caps w:val="0"/>
          <w:color w:val="auto"/>
          <w:spacing w:val="0"/>
          <w:kern w:val="0"/>
          <w:sz w:val="32"/>
          <w:szCs w:val="32"/>
          <w:shd w:val="clear" w:color="auto" w:fill="FFFFFF"/>
          <w:lang w:val="en-US" w:eastAsia="zh-CN" w:bidi="ar"/>
        </w:rPr>
        <w:t>土地面积共109.7805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bookmarkEnd w:id="1"/>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w:t>
      </w:r>
      <w:r>
        <w:rPr>
          <w:rFonts w:hint="eastAsia" w:ascii="仿宋_GB2312" w:hAnsi="仿宋_GB2312" w:cs="仿宋_GB2312"/>
          <w:color w:val="auto"/>
          <w:highlight w:val="none"/>
          <w:lang w:eastAsia="zh-CN"/>
        </w:rPr>
        <w:t>全部完成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234.96</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pPr>
        <w:numPr>
          <w:ilvl w:val="0"/>
          <w:numId w:val="0"/>
        </w:numPr>
        <w:ind w:firstLine="640" w:firstLineChars="200"/>
        <w:rPr>
          <w:rFonts w:hint="eastAsia" w:ascii="仿宋_GB2312" w:hAnsi="仿宋_GB2312" w:eastAsia="黑体" w:cs="仿宋_GB2312"/>
          <w:color w:val="auto"/>
          <w:lang w:val="en-US" w:eastAsia="zh-CN"/>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auto"/>
          <w:kern w:val="0"/>
          <w:shd w:val="clear" w:color="auto" w:fill="FFFFFF"/>
          <w:lang w:val="en-US" w:eastAsia="zh-CN" w:bidi="ar"/>
        </w:rPr>
        <w:t xml:space="preserve"> </w:t>
      </w:r>
      <w:r>
        <w:rPr>
          <w:rFonts w:hint="eastAsia" w:ascii="仿宋_GB2312" w:hAnsi="仿宋_GB2312" w:eastAsia="黑体" w:cs="仿宋_GB2312"/>
          <w:color w:val="auto"/>
          <w:lang w:val="en-US" w:eastAsia="zh-CN"/>
        </w:rPr>
        <w:t xml:space="preserve">   </w:t>
      </w:r>
    </w:p>
    <w:p>
      <w:pPr>
        <w:numPr>
          <w:ilvl w:val="0"/>
          <w:numId w:val="0"/>
        </w:numPr>
        <w:ind w:firstLine="640" w:firstLineChars="200"/>
        <w:rPr>
          <w:rFonts w:hint="eastAsia" w:ascii="仿宋_GB2312" w:hAnsi="仿宋_GB2312" w:eastAsia="仿宋_GB2312" w:cs="仿宋_GB2312"/>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pPr>
        <w:pStyle w:val="2"/>
        <w:ind w:left="0" w:leftChars="0" w:firstLine="0" w:firstLineChars="0"/>
        <w:rPr>
          <w:rFonts w:hint="eastAsia"/>
          <w:color w:val="auto"/>
          <w:sz w:val="32"/>
          <w:szCs w:val="32"/>
        </w:rPr>
      </w:pP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pPr>
        <w:rPr>
          <w:rFonts w:hint="eastAsia" w:ascii="仿宋_GB2312" w:hAnsi="仿宋_GB2312" w:eastAsia="仿宋_GB2312" w:cs="仿宋_GB2312"/>
          <w:color w:val="auto"/>
          <w:sz w:val="32"/>
          <w:szCs w:val="32"/>
          <w:lang w:val="en-US" w:eastAsia="zh-CN"/>
        </w:rPr>
      </w:pPr>
    </w:p>
    <w:p>
      <w:pPr>
        <w:pStyle w:val="2"/>
        <w:rPr>
          <w:rFonts w:hint="eastAsia"/>
          <w:color w:val="auto"/>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8</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pStyle w:val="2"/>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pPr>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default" w:ascii="黑体" w:hAnsi="黑体" w:eastAsia="黑体" w:cs="黑体"/>
          <w:color w:val="auto"/>
          <w:lang w:val="en-US" w:eastAsia="zh-CN"/>
        </w:rPr>
      </w:pPr>
      <w:r>
        <w:rPr>
          <w:rFonts w:hint="eastAsia" w:ascii="黑体" w:hAnsi="黑体" w:eastAsia="黑体" w:cs="黑体"/>
          <w:color w:val="auto"/>
        </w:rPr>
        <w:t>附</w:t>
      </w:r>
      <w:r>
        <w:rPr>
          <w:rFonts w:hint="eastAsia" w:ascii="黑体" w:hAnsi="黑体" w:eastAsia="黑体" w:cs="黑体"/>
          <w:color w:val="auto"/>
          <w:lang w:eastAsia="zh-CN"/>
        </w:rPr>
        <w:t>件</w:t>
      </w:r>
    </w:p>
    <w:p>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pPr>
        <w:spacing w:line="600" w:lineRule="exact"/>
        <w:ind w:right="770"/>
        <w:jc w:val="righ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855"/>
        <w:gridCol w:w="3525"/>
        <w:gridCol w:w="1440"/>
        <w:gridCol w:w="1605"/>
        <w:gridCol w:w="1281"/>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4380"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被征地单位</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征收土地面积</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其中属于被征地单位留用地面积</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55" w:type="dxa"/>
            <w:vMerge w:val="restart"/>
            <w:tcBorders>
              <w:top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bookmarkStart w:id="2" w:name="OLE_LINK4" w:colFirst="0" w:colLast="3"/>
            <w:r>
              <w:rPr>
                <w:rFonts w:hint="eastAsia" w:ascii="仿宋_GB2312" w:hAnsi="仿宋_GB2312" w:eastAsia="仿宋_GB2312" w:cs="仿宋_GB2312"/>
                <w:color w:val="auto"/>
                <w:kern w:val="0"/>
                <w:sz w:val="24"/>
                <w:szCs w:val="24"/>
                <w:lang w:eastAsia="zh-CN"/>
              </w:rPr>
              <w:t>花城街</w:t>
            </w:r>
          </w:p>
        </w:tc>
        <w:tc>
          <w:tcPr>
            <w:tcW w:w="35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长岗村经济联合社</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40.269</w:t>
            </w:r>
            <w:r>
              <w:rPr>
                <w:rFonts w:hint="eastAsia" w:ascii="仿宋_GB2312" w:hAnsi="仿宋_GB2312" w:cs="仿宋_GB2312"/>
                <w:i w:val="0"/>
                <w:iCs w:val="0"/>
                <w:color w:val="auto"/>
                <w:kern w:val="0"/>
                <w:sz w:val="24"/>
                <w:szCs w:val="24"/>
                <w:u w:val="none"/>
                <w:lang w:val="en-US" w:eastAsia="zh-CN" w:bidi="ar"/>
              </w:rPr>
              <w:t>0</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86.18</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55"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5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长岗村东成三经济合作社、茶园一经济合作社、茶园三经济合作社、茶园二经济合作社（共有）</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3.087</w:t>
            </w:r>
            <w:r>
              <w:rPr>
                <w:rFonts w:hint="eastAsia" w:ascii="仿宋_GB2312" w:hAnsi="仿宋_GB2312" w:cs="仿宋_GB2312"/>
                <w:i w:val="0"/>
                <w:iCs w:val="0"/>
                <w:color w:val="auto"/>
                <w:kern w:val="0"/>
                <w:sz w:val="24"/>
                <w:szCs w:val="24"/>
                <w:u w:val="none"/>
                <w:lang w:val="en-US" w:eastAsia="zh-CN" w:bidi="ar"/>
              </w:rPr>
              <w:t>0</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6.61</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55"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5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长岗村茶园二经济合作社</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9.726</w:t>
            </w:r>
            <w:r>
              <w:rPr>
                <w:rFonts w:hint="eastAsia" w:ascii="仿宋_GB2312" w:hAnsi="仿宋_GB2312" w:cs="仿宋_GB2312"/>
                <w:i w:val="0"/>
                <w:iCs w:val="0"/>
                <w:color w:val="auto"/>
                <w:kern w:val="0"/>
                <w:sz w:val="24"/>
                <w:szCs w:val="24"/>
                <w:u w:val="none"/>
                <w:lang w:val="en-US" w:eastAsia="zh-CN" w:bidi="ar"/>
              </w:rPr>
              <w:t>0</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20.82</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55"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5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长岗村茶园三经济合作社</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11.0415</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23.63</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55"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bookmarkStart w:id="3" w:name="OLE_LINK1" w:colFirst="3" w:colLast="3"/>
          </w:p>
        </w:tc>
        <w:tc>
          <w:tcPr>
            <w:tcW w:w="35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长岗村东成三经济合作社</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0.0885</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0.19</w:t>
            </w:r>
          </w:p>
        </w:tc>
      </w:tr>
      <w:bookmarkEnd w:id="3"/>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55"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5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东边村昌二经济合作社</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45.435</w:t>
            </w:r>
            <w:r>
              <w:rPr>
                <w:rFonts w:hint="eastAsia" w:ascii="仿宋_GB2312" w:hAnsi="仿宋_GB2312" w:cs="仿宋_GB2312"/>
                <w:i w:val="0"/>
                <w:iCs w:val="0"/>
                <w:color w:val="auto"/>
                <w:kern w:val="0"/>
                <w:sz w:val="24"/>
                <w:szCs w:val="24"/>
                <w:u w:val="none"/>
                <w:lang w:val="en-US" w:eastAsia="zh-CN" w:bidi="ar"/>
              </w:rPr>
              <w:t>0</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97.24</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55"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52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杨一村经济联合社</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0.1335</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0.29</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380"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合计</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109.7805</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234.96</w:t>
            </w:r>
          </w:p>
        </w:tc>
      </w:tr>
      <w:bookmarkEnd w:id="2"/>
    </w:tbl>
    <w:p>
      <w:pPr>
        <w:spacing w:line="320" w:lineRule="exact"/>
        <w:ind w:right="210"/>
        <w:jc w:val="left"/>
        <w:rPr>
          <w:color w:val="auto"/>
        </w:rPr>
      </w:pPr>
      <w:r>
        <w:rPr>
          <w:rFonts w:hint="eastAsia"/>
          <w:color w:val="auto"/>
          <w:sz w:val="24"/>
          <w:szCs w:val="28"/>
          <w:lang w:eastAsia="zh-CN"/>
        </w:rPr>
        <w:t>备注：</w:t>
      </w:r>
      <w:r>
        <w:rPr>
          <w:rFonts w:hint="eastAsia"/>
          <w:color w:val="auto"/>
          <w:sz w:val="24"/>
          <w:szCs w:val="28"/>
        </w:rPr>
        <w:t>该项目按2.14万元/亩的标准计提征地社保费，即：按征地补偿安置方案制</w:t>
      </w:r>
      <w:r>
        <w:rPr>
          <w:rFonts w:hint="eastAsia"/>
          <w:color w:val="auto"/>
          <w:sz w:val="24"/>
          <w:szCs w:val="28"/>
        </w:rPr>
        <w:t>定时，花都区平均每亩征收农用地区片综合地价13.33万元/亩的16%。属于农村集体经济组织留用地的，按规定不计提征地社保费。</w:t>
      </w:r>
    </w:p>
    <w:bookmarkEnd w:id="4"/>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7B46B6D"/>
    <w:rsid w:val="08464AE7"/>
    <w:rsid w:val="08EC2A03"/>
    <w:rsid w:val="093A3CC5"/>
    <w:rsid w:val="0B9B6E50"/>
    <w:rsid w:val="0C1E49CC"/>
    <w:rsid w:val="0CE91961"/>
    <w:rsid w:val="0E3140D7"/>
    <w:rsid w:val="12341E88"/>
    <w:rsid w:val="130D0805"/>
    <w:rsid w:val="13714D70"/>
    <w:rsid w:val="15CE692B"/>
    <w:rsid w:val="18A233DB"/>
    <w:rsid w:val="19E21F71"/>
    <w:rsid w:val="1B6337E0"/>
    <w:rsid w:val="20902328"/>
    <w:rsid w:val="20B67655"/>
    <w:rsid w:val="211F0DDA"/>
    <w:rsid w:val="215E252F"/>
    <w:rsid w:val="23141564"/>
    <w:rsid w:val="28702BCD"/>
    <w:rsid w:val="2A015B73"/>
    <w:rsid w:val="2B972895"/>
    <w:rsid w:val="2CC969F8"/>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7E72F44"/>
    <w:rsid w:val="595E5E5B"/>
    <w:rsid w:val="5A666CB6"/>
    <w:rsid w:val="5D7072F6"/>
    <w:rsid w:val="5D722B54"/>
    <w:rsid w:val="5FE43DCD"/>
    <w:rsid w:val="614340C8"/>
    <w:rsid w:val="61602225"/>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C593785"/>
    <w:rsid w:val="7D384D60"/>
    <w:rsid w:val="7DF30E5A"/>
    <w:rsid w:val="7F9A7F94"/>
    <w:rsid w:val="7FDA37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2025-08-21T08:58:55Z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AE94F516F0CB416DA7B1745D306D1B4D_13</vt:lpwstr>
  </property>
</Properties>
</file>