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D0E5">
      <w:pPr>
        <w:spacing w:line="560" w:lineRule="exact"/>
        <w:jc w:val="right"/>
        <w:rPr>
          <w:rFonts w:hint="eastAsia" w:ascii="方正小标宋_GBK" w:hAnsi="方正小标宋_GBK" w:eastAsia="方正小标宋_GBK" w:cs="方正小标宋_GBK"/>
          <w:bCs/>
          <w:color w:val="auto"/>
          <w:sz w:val="44"/>
          <w:szCs w:val="44"/>
        </w:rPr>
      </w:pPr>
      <w:r>
        <w:rPr>
          <w:rFonts w:hint="default" w:ascii="Times New Roman" w:hAnsi="Times New Roman" w:eastAsia="仿宋_GB2312" w:cs="Times New Roman"/>
          <w:sz w:val="32"/>
          <w:szCs w:val="32"/>
          <w:highlight w:val="none"/>
          <w:lang w:val="en-US" w:eastAsia="zh-CN"/>
        </w:rPr>
        <w:t>粤府土审（02）〔202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125</w:t>
      </w:r>
      <w:r>
        <w:rPr>
          <w:rFonts w:hint="default" w:ascii="Times New Roman" w:hAnsi="Times New Roman" w:eastAsia="仿宋_GB2312" w:cs="Times New Roman"/>
          <w:sz w:val="32"/>
          <w:szCs w:val="32"/>
          <w:highlight w:val="none"/>
          <w:lang w:val="en-US" w:eastAsia="zh-CN"/>
        </w:rPr>
        <w:t>号</w:t>
      </w:r>
    </w:p>
    <w:p w14:paraId="34ACF8B5">
      <w:pPr>
        <w:spacing w:line="560" w:lineRule="exact"/>
        <w:jc w:val="center"/>
        <w:rPr>
          <w:rFonts w:hint="eastAsia" w:ascii="方正小标宋_GBK" w:hAnsi="方正小标宋_GBK" w:eastAsia="方正小标宋_GBK" w:cs="方正小标宋_GBK"/>
          <w:bCs/>
          <w:color w:val="auto"/>
          <w:sz w:val="44"/>
          <w:szCs w:val="44"/>
        </w:rPr>
      </w:pPr>
    </w:p>
    <w:p w14:paraId="139C3C72">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广东省人民政府关于广州市花都区</w:t>
      </w:r>
      <w:r>
        <w:rPr>
          <w:rFonts w:hint="eastAsia" w:ascii="方正小标宋_GBK" w:hAnsi="方正小标宋_GBK" w:eastAsia="方正小标宋_GBK" w:cs="方正小标宋_GBK"/>
          <w:bCs/>
          <w:color w:val="auto"/>
          <w:sz w:val="44"/>
          <w:szCs w:val="44"/>
          <w:lang w:val="en-US" w:eastAsia="zh-CN"/>
        </w:rPr>
        <w:t>2022年度第四十二</w:t>
      </w:r>
      <w:r>
        <w:rPr>
          <w:rFonts w:hint="eastAsia" w:ascii="方正小标宋_GBK" w:hAnsi="方正小标宋_GBK" w:eastAsia="方正小标宋_GBK" w:cs="方正小标宋_GBK"/>
          <w:bCs/>
          <w:color w:val="auto"/>
          <w:sz w:val="44"/>
          <w:szCs w:val="44"/>
        </w:rPr>
        <w:t>批次城镇建设用地</w:t>
      </w:r>
      <w:r>
        <w:rPr>
          <w:rFonts w:hint="eastAsia" w:ascii="方正小标宋_GBK" w:hAnsi="方正小标宋_GBK" w:eastAsia="方正小标宋_GBK" w:cs="方正小标宋_GBK"/>
          <w:bCs/>
          <w:color w:val="auto"/>
          <w:sz w:val="44"/>
          <w:szCs w:val="44"/>
          <w:u w:val="none"/>
        </w:rPr>
        <w:t>的批复</w:t>
      </w:r>
    </w:p>
    <w:p w14:paraId="66CA970B">
      <w:pPr>
        <w:widowControl/>
        <w:spacing w:line="600" w:lineRule="exact"/>
        <w:jc w:val="center"/>
        <w:textAlignment w:val="baseline"/>
        <w:rPr>
          <w:rFonts w:hint="eastAsia"/>
          <w:b/>
          <w:color w:val="auto"/>
          <w:sz w:val="32"/>
          <w:szCs w:val="32"/>
          <w:u w:val="none"/>
        </w:rPr>
      </w:pPr>
    </w:p>
    <w:p w14:paraId="093046C0">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14:paraId="5284D289">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广州市花都区2022年度第四十二批次城镇建设用地土地征收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highlight w:val="none"/>
          <w:lang w:val="en-US" w:eastAsia="zh-CN"/>
        </w:rPr>
        <w:t>（花府字</w:t>
      </w:r>
      <w:r>
        <w:rPr>
          <w:rFonts w:hint="eastAsia" w:ascii="Times New Roman" w:hAnsi="Times New Roman" w:eastAsia="仿宋_GB2312" w:cs="Times New Roman"/>
          <w:color w:val="auto"/>
          <w:sz w:val="32"/>
          <w:szCs w:val="32"/>
          <w:highlight w:val="none"/>
          <w:u w:val="none"/>
          <w:lang w:val="en-US" w:eastAsia="zh-CN"/>
        </w:rPr>
        <w:t>〔2025〕</w:t>
      </w:r>
      <w:r>
        <w:rPr>
          <w:rFonts w:hint="eastAsia" w:eastAsia="仿宋_GB2312" w:cs="Times New Roman"/>
          <w:color w:val="auto"/>
          <w:sz w:val="32"/>
          <w:szCs w:val="32"/>
          <w:highlight w:val="none"/>
          <w:u w:val="none"/>
          <w:lang w:val="en-US" w:eastAsia="zh-CN"/>
        </w:rPr>
        <w:t>51</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条有关规定</w:t>
      </w:r>
      <w:r>
        <w:rPr>
          <w:rFonts w:hint="eastAsia" w:ascii="仿宋_GB2312" w:hAnsi="仿宋_GB2312" w:eastAsia="仿宋_GB2312" w:cs="仿宋_GB2312"/>
          <w:color w:val="auto"/>
          <w:sz w:val="32"/>
          <w:szCs w:val="32"/>
          <w:u w:val="none"/>
        </w:rPr>
        <w:t>，批复如下：</w:t>
      </w:r>
    </w:p>
    <w:p w14:paraId="6CACEA91">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eastAsia="仿宋_GB2312" w:cs="Times New Roman"/>
          <w:color w:val="auto"/>
          <w:kern w:val="2"/>
          <w:sz w:val="32"/>
          <w:szCs w:val="32"/>
          <w:highlight w:val="none"/>
          <w:u w:val="none"/>
          <w:lang w:val="en-US" w:eastAsia="zh-CN" w:bidi="ar-SA"/>
        </w:rPr>
        <w:t>1.1946</w:t>
      </w:r>
      <w:r>
        <w:rPr>
          <w:rFonts w:hint="eastAsia" w:ascii="Times New Roman" w:hAnsi="Times New Roman" w:eastAsia="仿宋_GB2312" w:cs="Times New Roman"/>
          <w:color w:val="auto"/>
          <w:kern w:val="2"/>
          <w:sz w:val="32"/>
          <w:szCs w:val="32"/>
          <w:highlight w:val="none"/>
          <w:u w:val="none"/>
          <w:lang w:val="en-US" w:eastAsia="zh-CN" w:bidi="ar-SA"/>
        </w:rPr>
        <w:t>公顷城镇建设用地，即同意你市将花都区</w:t>
      </w:r>
      <w:r>
        <w:rPr>
          <w:rFonts w:hint="eastAsia" w:cs="Times New Roman"/>
          <w:color w:val="auto"/>
          <w:kern w:val="2"/>
          <w:sz w:val="32"/>
          <w:szCs w:val="32"/>
          <w:highlight w:val="none"/>
          <w:u w:val="none"/>
          <w:lang w:val="en-US" w:eastAsia="zh-CN" w:bidi="ar-SA"/>
        </w:rPr>
        <w:t>新华街新街村钟村经济合作社</w:t>
      </w:r>
      <w:r>
        <w:rPr>
          <w:rFonts w:hint="eastAsia" w:ascii="Times New Roman" w:hAnsi="Times New Roman" w:eastAsia="仿宋_GB2312" w:cs="Times New Roman"/>
          <w:color w:val="auto"/>
          <w:kern w:val="2"/>
          <w:sz w:val="32"/>
          <w:szCs w:val="32"/>
          <w:highlight w:val="none"/>
          <w:u w:val="none"/>
          <w:lang w:val="en-US" w:eastAsia="zh-CN" w:bidi="ar-SA"/>
        </w:rPr>
        <w:t>属下的集体农用地</w:t>
      </w:r>
      <w:r>
        <w:rPr>
          <w:rFonts w:hint="eastAsia" w:eastAsia="仿宋_GB2312" w:cs="Times New Roman"/>
          <w:color w:val="auto"/>
          <w:kern w:val="2"/>
          <w:sz w:val="32"/>
          <w:szCs w:val="32"/>
          <w:highlight w:val="none"/>
          <w:u w:val="none"/>
          <w:lang w:val="en-US" w:eastAsia="zh-CN" w:bidi="ar-SA"/>
        </w:rPr>
        <w:t>1.1592</w:t>
      </w:r>
      <w:r>
        <w:rPr>
          <w:rFonts w:hint="eastAsia" w:ascii="Times New Roman" w:hAnsi="Times New Roman" w:eastAsia="仿宋_GB2312" w:cs="Times New Roman"/>
          <w:color w:val="auto"/>
          <w:kern w:val="2"/>
          <w:sz w:val="32"/>
          <w:szCs w:val="32"/>
          <w:highlight w:val="none"/>
          <w:u w:val="none"/>
          <w:lang w:val="en-US" w:eastAsia="zh-CN" w:bidi="ar-SA"/>
        </w:rPr>
        <w:t>公顷（</w:t>
      </w:r>
      <w:r>
        <w:rPr>
          <w:rFonts w:hint="eastAsia" w:eastAsia="仿宋_GB2312" w:cs="Times New Roman"/>
          <w:color w:val="auto"/>
          <w:kern w:val="2"/>
          <w:sz w:val="32"/>
          <w:szCs w:val="32"/>
          <w:highlight w:val="none"/>
          <w:u w:val="none"/>
          <w:lang w:val="en-US" w:eastAsia="zh-CN" w:bidi="ar-SA"/>
        </w:rPr>
        <w:t>其中</w:t>
      </w:r>
      <w:r>
        <w:rPr>
          <w:rFonts w:hint="eastAsia" w:ascii="Times New Roman" w:hAnsi="Times New Roman" w:eastAsia="仿宋_GB2312" w:cs="Times New Roman"/>
          <w:color w:val="auto"/>
          <w:kern w:val="2"/>
          <w:sz w:val="32"/>
          <w:szCs w:val="32"/>
          <w:highlight w:val="none"/>
          <w:u w:val="none"/>
          <w:lang w:val="en-US" w:eastAsia="zh-CN" w:bidi="ar-SA"/>
        </w:rPr>
        <w:t>耕地</w:t>
      </w:r>
      <w:r>
        <w:rPr>
          <w:rFonts w:hint="eastAsia" w:eastAsia="仿宋_GB2312" w:cs="Times New Roman"/>
          <w:color w:val="auto"/>
          <w:kern w:val="2"/>
          <w:sz w:val="32"/>
          <w:szCs w:val="32"/>
          <w:highlight w:val="none"/>
          <w:u w:val="none"/>
          <w:lang w:val="en-US" w:eastAsia="zh-CN" w:bidi="ar-SA"/>
        </w:rPr>
        <w:t>0.0433公顷</w:t>
      </w:r>
      <w:r>
        <w:rPr>
          <w:rFonts w:hint="eastAsia" w:ascii="Times New Roman" w:hAnsi="Times New Roman" w:eastAsia="仿宋_GB2312" w:cs="Times New Roman"/>
          <w:color w:val="auto"/>
          <w:kern w:val="2"/>
          <w:sz w:val="32"/>
          <w:szCs w:val="32"/>
          <w:highlight w:val="none"/>
          <w:u w:val="none"/>
          <w:lang w:val="en-US" w:eastAsia="zh-CN" w:bidi="ar-SA"/>
        </w:rPr>
        <w:t>）转为建设用地，同时使用上述有关村集体建设用地0.0347公顷，</w:t>
      </w:r>
      <w:r>
        <w:rPr>
          <w:rFonts w:hint="eastAsia" w:ascii="Times New Roman" w:hAnsi="Times New Roman" w:eastAsia="仿宋_GB2312" w:cs="Times New Roman"/>
          <w:color w:val="auto"/>
          <w:kern w:val="2"/>
          <w:sz w:val="32"/>
          <w:szCs w:val="32"/>
          <w:highlight w:val="none"/>
          <w:u w:val="none"/>
          <w:lang w:val="en-US" w:eastAsia="zh-CN" w:bidi="ar-SA"/>
        </w:rPr>
        <w:t>以上合计1.1939</w:t>
      </w:r>
      <w:r>
        <w:rPr>
          <w:rFonts w:hint="eastAsia" w:ascii="Times New Roman" w:hAnsi="Times New Roman" w:eastAsia="仿宋_GB2312" w:cs="Times New Roman"/>
          <w:color w:val="auto"/>
          <w:kern w:val="2"/>
          <w:sz w:val="32"/>
          <w:szCs w:val="32"/>
          <w:highlight w:val="none"/>
          <w:u w:val="none"/>
          <w:lang w:val="en-US" w:eastAsia="zh-CN" w:bidi="ar-SA"/>
        </w:rPr>
        <w:t>公顷集体土地一并办理征地手续。另同意你市将花都区人民政府掌握的国有农用地0.0003公顷（不涉及耕地）转为建设用地，同时使用上述有关单位建设用地0.0004公顷。</w:t>
      </w:r>
      <w:r>
        <w:rPr>
          <w:rFonts w:hint="eastAsia" w:ascii="Times New Roman" w:hAnsi="Times New Roman" w:eastAsia="仿宋_GB2312" w:cs="Times New Roman"/>
          <w:color w:val="auto"/>
          <w:kern w:val="2"/>
          <w:sz w:val="32"/>
          <w:szCs w:val="32"/>
          <w:highlight w:val="none"/>
          <w:u w:val="none"/>
          <w:lang w:val="en-US" w:eastAsia="zh-CN" w:bidi="ar-SA"/>
        </w:rPr>
        <w:t>上述批准建设用地1.1946</w:t>
      </w:r>
      <w:r>
        <w:rPr>
          <w:rFonts w:hint="eastAsia" w:ascii="Times New Roman" w:hAnsi="Times New Roman" w:eastAsia="仿宋_GB2312" w:cs="Times New Roman"/>
          <w:color w:val="auto"/>
          <w:kern w:val="2"/>
          <w:sz w:val="32"/>
          <w:szCs w:val="32"/>
          <w:highlight w:val="none"/>
          <w:u w:val="none"/>
          <w:lang w:val="en-US" w:eastAsia="zh-CN" w:bidi="ar-SA"/>
        </w:rPr>
        <w:t>公顷由当地人民政府依法依规供应。</w:t>
      </w:r>
    </w:p>
    <w:p w14:paraId="675C8925">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w:t>
      </w:r>
      <w:r>
        <w:rPr>
          <w:rFonts w:hint="eastAsia" w:ascii="仿宋_GB2312" w:hAnsi="仿宋_GB2312" w:eastAsia="仿宋_GB2312" w:cs="仿宋_GB2312"/>
          <w:color w:val="auto"/>
          <w:kern w:val="0"/>
          <w:sz w:val="32"/>
          <w:szCs w:val="32"/>
          <w:lang w:eastAsia="zh-CN" w:bidi="ar"/>
        </w:rPr>
        <w:t>市人民</w:t>
      </w:r>
      <w:r>
        <w:rPr>
          <w:rFonts w:hint="eastAsia" w:ascii="仿宋_GB2312" w:hAnsi="仿宋_GB2312" w:eastAsia="仿宋_GB2312" w:cs="仿宋_GB2312"/>
          <w:color w:val="auto"/>
          <w:kern w:val="0"/>
          <w:sz w:val="32"/>
          <w:szCs w:val="32"/>
          <w:lang w:val="en-US" w:eastAsia="zh-CN" w:bidi="ar"/>
        </w:rPr>
        <w:t>政府负责落实补充耕地</w:t>
      </w:r>
      <w:r>
        <w:rPr>
          <w:rFonts w:hint="eastAsia" w:ascii="仿宋_GB2312" w:hAnsi="仿宋_GB2312" w:eastAsia="仿宋_GB2312" w:cs="仿宋_GB2312"/>
          <w:color w:val="auto"/>
          <w:sz w:val="32"/>
          <w:szCs w:val="32"/>
        </w:rPr>
        <w:t>。督促补充耕地责任单位认真</w:t>
      </w:r>
      <w:r>
        <w:rPr>
          <w:rFonts w:hint="eastAsia" w:ascii="仿宋_GB2312" w:hAnsi="仿宋_GB2312" w:eastAsia="仿宋_GB2312" w:cs="仿宋_GB2312"/>
          <w:color w:val="auto"/>
          <w:sz w:val="32"/>
          <w:szCs w:val="32"/>
          <w:lang w:eastAsia="zh-CN"/>
        </w:rPr>
        <w:t>落实耕地占补平衡</w:t>
      </w:r>
      <w:r>
        <w:rPr>
          <w:rFonts w:hint="eastAsia" w:ascii="仿宋_GB2312" w:hAnsi="仿宋_GB2312" w:eastAsia="仿宋_GB2312" w:cs="仿宋_GB2312"/>
          <w:color w:val="auto"/>
          <w:sz w:val="32"/>
          <w:szCs w:val="32"/>
        </w:rPr>
        <w:t>，补充数量相等、质量相当的耕地，对应核销耕地数量、水田规模和标准粮食产能指标（确认信息编号：</w:t>
      </w:r>
      <w:r>
        <w:rPr>
          <w:rFonts w:hint="eastAsia" w:ascii="Times New Roman" w:hAnsi="Times New Roman" w:eastAsia="仿宋_GB2312" w:cs="Times New Roman"/>
          <w:color w:val="auto"/>
          <w:kern w:val="2"/>
          <w:sz w:val="32"/>
          <w:szCs w:val="32"/>
          <w:highlight w:val="none"/>
          <w:u w:val="none"/>
          <w:lang w:val="en-US" w:eastAsia="zh-CN" w:bidi="ar-SA"/>
        </w:rPr>
        <w:t>440000202</w:t>
      </w:r>
      <w:r>
        <w:rPr>
          <w:rFonts w:hint="eastAsia" w:eastAsia="仿宋_GB2312" w:cs="Times New Roman"/>
          <w:color w:val="auto"/>
          <w:kern w:val="2"/>
          <w:sz w:val="32"/>
          <w:szCs w:val="32"/>
          <w:highlight w:val="none"/>
          <w:u w:val="none"/>
          <w:lang w:val="en-US" w:eastAsia="zh-CN" w:bidi="ar-SA"/>
        </w:rPr>
        <w:t>216640075</w:t>
      </w:r>
      <w:r>
        <w:rPr>
          <w:rFonts w:hint="eastAsia" w:ascii="仿宋_GB2312" w:hAnsi="仿宋_GB2312" w:eastAsia="仿宋_GB2312" w:cs="仿宋_GB2312"/>
          <w:color w:val="auto"/>
          <w:sz w:val="32"/>
          <w:szCs w:val="32"/>
        </w:rPr>
        <w:t>）。</w:t>
      </w:r>
    </w:p>
    <w:p w14:paraId="0AE2478C">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14:paraId="4EC4DB7F">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b w:val="0"/>
          <w:bCs w:val="0"/>
          <w:color w:val="auto"/>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p>
    <w:p w14:paraId="212330DD">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14:paraId="187D18A0">
      <w:pPr>
        <w:widowControl/>
        <w:spacing w:line="600" w:lineRule="exact"/>
        <w:textAlignment w:val="baseline"/>
        <w:rPr>
          <w:rFonts w:hint="eastAsia" w:ascii="仿宋_GB2312" w:hAnsi="仿宋_GB2312" w:eastAsia="仿宋_GB2312" w:cs="仿宋_GB2312"/>
          <w:color w:val="auto"/>
          <w:sz w:val="32"/>
          <w:szCs w:val="32"/>
        </w:rPr>
      </w:pPr>
    </w:p>
    <w:p w14:paraId="41B02CD6">
      <w:pPr>
        <w:widowControl/>
        <w:spacing w:line="600" w:lineRule="exact"/>
        <w:textAlignment w:val="baseline"/>
        <w:rPr>
          <w:rFonts w:hint="eastAsia" w:ascii="仿宋_GB2312" w:hAnsi="仿宋_GB2312" w:eastAsia="仿宋_GB2312" w:cs="仿宋_GB2312"/>
          <w:color w:val="auto"/>
          <w:sz w:val="32"/>
          <w:szCs w:val="32"/>
        </w:rPr>
      </w:pPr>
    </w:p>
    <w:p w14:paraId="65786145">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14:paraId="247084E5">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2025年</w:t>
      </w:r>
      <w:r>
        <w:rPr>
          <w:rFonts w:hint="eastAsia" w:eastAsia="仿宋_GB2312" w:cs="Times New Roman"/>
          <w:color w:val="auto"/>
          <w:kern w:val="2"/>
          <w:sz w:val="32"/>
          <w:szCs w:val="32"/>
          <w:highlight w:val="none"/>
          <w:u w:val="none"/>
          <w:lang w:val="en-US" w:eastAsia="zh-CN" w:bidi="ar-SA"/>
        </w:rPr>
        <w:t>7</w:t>
      </w:r>
      <w:r>
        <w:rPr>
          <w:rFonts w:hint="eastAsia" w:ascii="Times New Roman" w:hAnsi="Times New Roman" w:eastAsia="仿宋_GB2312" w:cs="Times New Roman"/>
          <w:color w:val="auto"/>
          <w:kern w:val="2"/>
          <w:sz w:val="32"/>
          <w:szCs w:val="32"/>
          <w:highlight w:val="none"/>
          <w:u w:val="none"/>
          <w:lang w:val="en-US" w:eastAsia="zh-CN" w:bidi="ar-SA"/>
        </w:rPr>
        <w:t>月</w:t>
      </w:r>
      <w:r>
        <w:rPr>
          <w:rFonts w:hint="eastAsia" w:eastAsia="仿宋_GB2312" w:cs="Times New Roman"/>
          <w:color w:val="auto"/>
          <w:kern w:val="2"/>
          <w:sz w:val="32"/>
          <w:szCs w:val="32"/>
          <w:highlight w:val="none"/>
          <w:u w:val="none"/>
          <w:lang w:val="en-US" w:eastAsia="zh-CN" w:bidi="ar-SA"/>
        </w:rPr>
        <w:t>25</w:t>
      </w:r>
      <w:r>
        <w:rPr>
          <w:rFonts w:hint="eastAsia" w:ascii="仿宋_GB2312" w:hAnsi="仿宋_GB2312" w:eastAsia="仿宋_GB2312" w:cs="仿宋_GB2312"/>
          <w:color w:val="auto"/>
          <w:sz w:val="32"/>
          <w:szCs w:val="32"/>
        </w:rPr>
        <w:t>日</w:t>
      </w:r>
    </w:p>
    <w:p w14:paraId="11B7957D">
      <w:pPr>
        <w:widowControl/>
        <w:spacing w:line="600" w:lineRule="exact"/>
        <w:textAlignment w:val="baseline"/>
        <w:rPr>
          <w:rFonts w:hint="eastAsia" w:eastAsia="仿宋_GB2312"/>
          <w:color w:val="auto"/>
          <w:sz w:val="32"/>
          <w:szCs w:val="32"/>
        </w:rPr>
      </w:pPr>
    </w:p>
    <w:p w14:paraId="24615EB3">
      <w:pPr>
        <w:widowControl/>
        <w:spacing w:line="600" w:lineRule="exact"/>
        <w:textAlignment w:val="baseline"/>
        <w:rPr>
          <w:rFonts w:hint="eastAsia" w:eastAsia="仿宋_GB2312"/>
          <w:color w:val="auto"/>
          <w:sz w:val="32"/>
          <w:szCs w:val="32"/>
        </w:rPr>
      </w:pPr>
    </w:p>
    <w:p w14:paraId="1D8FC74C">
      <w:pPr>
        <w:widowControl/>
        <w:spacing w:line="600" w:lineRule="exact"/>
        <w:textAlignment w:val="baseline"/>
        <w:rPr>
          <w:rFonts w:hint="eastAsia" w:eastAsia="仿宋_GB2312"/>
          <w:color w:val="auto"/>
          <w:sz w:val="32"/>
          <w:szCs w:val="32"/>
        </w:rPr>
      </w:pPr>
    </w:p>
    <w:p w14:paraId="7DC06B6D">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14:paraId="0A1E5A8C">
      <w:pPr>
        <w:spacing w:line="560" w:lineRule="exact"/>
        <w:ind w:left="1104" w:leftChars="201" w:hanging="690" w:hangingChars="250"/>
        <w:rPr>
          <w:color w:val="auto"/>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w:t>
      </w:r>
      <w:bookmarkStart w:id="0" w:name="_GoBack"/>
      <w:bookmarkEnd w:id="0"/>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6CB">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0386C3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CFB">
    <w:pPr>
      <w:pStyle w:val="2"/>
      <w:framePr w:wrap="around" w:vAnchor="text" w:hAnchor="margin" w:xAlign="outside" w:y="1"/>
      <w:rPr>
        <w:rStyle w:val="5"/>
      </w:rPr>
    </w:pPr>
    <w:r>
      <w:fldChar w:fldCharType="begin"/>
    </w:r>
    <w:r>
      <w:rPr>
        <w:rStyle w:val="5"/>
      </w:rPr>
      <w:instrText xml:space="preserve">PAGE  </w:instrText>
    </w:r>
    <w:r>
      <w:fldChar w:fldCharType="end"/>
    </w:r>
  </w:p>
  <w:p w14:paraId="33422E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239E8"/>
    <w:rsid w:val="02810FF7"/>
    <w:rsid w:val="0346238A"/>
    <w:rsid w:val="036E3094"/>
    <w:rsid w:val="0C9920D9"/>
    <w:rsid w:val="13236B26"/>
    <w:rsid w:val="14812ACF"/>
    <w:rsid w:val="15EA2560"/>
    <w:rsid w:val="18F4146A"/>
    <w:rsid w:val="24491BE9"/>
    <w:rsid w:val="26AD3E24"/>
    <w:rsid w:val="2E6F1820"/>
    <w:rsid w:val="33935FAE"/>
    <w:rsid w:val="3BBA7AA0"/>
    <w:rsid w:val="407B1783"/>
    <w:rsid w:val="429C3C8E"/>
    <w:rsid w:val="44481963"/>
    <w:rsid w:val="483A73C5"/>
    <w:rsid w:val="4F617A2B"/>
    <w:rsid w:val="506F56B2"/>
    <w:rsid w:val="51C56C38"/>
    <w:rsid w:val="555846C7"/>
    <w:rsid w:val="56A7023F"/>
    <w:rsid w:val="5D293D56"/>
    <w:rsid w:val="6D593268"/>
    <w:rsid w:val="770C5427"/>
    <w:rsid w:val="7BF82EAB"/>
    <w:rsid w:val="7E2F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陈湘鹏</cp:lastModifiedBy>
  <dcterms:modified xsi:type="dcterms:W3CDTF">2025-08-13T07:36:50Z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50C58CED391548A2B10BA66E45B58CF7</vt:lpwstr>
  </property>
</Properties>
</file>