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141</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02B56C35">
      <w:pPr>
        <w:spacing w:line="56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广东省人民政府关于广州市花都区2024年度</w:t>
      </w:r>
    </w:p>
    <w:p w14:paraId="139C3C72">
      <w:pPr>
        <w:spacing w:line="560" w:lineRule="exact"/>
        <w:jc w:val="center"/>
        <w:rPr>
          <w:rFonts w:hint="eastAsia" w:ascii="方正小标宋简体" w:hAnsi="方正小标宋简体" w:eastAsia="方正小标宋简体" w:cs="方正小标宋简体"/>
          <w:bCs/>
          <w:color w:val="auto"/>
          <w:sz w:val="44"/>
          <w:szCs w:val="44"/>
          <w:u w:val="none"/>
        </w:rPr>
      </w:pPr>
      <w:r>
        <w:rPr>
          <w:rFonts w:hint="eastAsia" w:ascii="方正小标宋简体" w:hAnsi="方正小标宋简体" w:eastAsia="方正小标宋简体" w:cs="方正小标宋简体"/>
          <w:bCs/>
          <w:color w:val="auto"/>
          <w:sz w:val="44"/>
          <w:szCs w:val="44"/>
        </w:rPr>
        <w:t>第</w:t>
      </w:r>
      <w:r>
        <w:rPr>
          <w:rFonts w:hint="eastAsia" w:ascii="方正小标宋简体" w:hAnsi="方正小标宋简体" w:eastAsia="方正小标宋简体" w:cs="方正小标宋简体"/>
          <w:bCs/>
          <w:color w:val="auto"/>
          <w:sz w:val="44"/>
          <w:szCs w:val="44"/>
          <w:lang w:eastAsia="zh-CN"/>
        </w:rPr>
        <w:t>六十一</w:t>
      </w:r>
      <w:r>
        <w:rPr>
          <w:rFonts w:hint="eastAsia" w:ascii="方正小标宋简体" w:hAnsi="方正小标宋简体" w:eastAsia="方正小标宋简体" w:cs="方正小标宋简体"/>
          <w:bCs/>
          <w:color w:val="auto"/>
          <w:sz w:val="44"/>
          <w:szCs w:val="44"/>
        </w:rPr>
        <w:t>批次城镇建设用地</w:t>
      </w:r>
      <w:r>
        <w:rPr>
          <w:rFonts w:hint="eastAsia" w:ascii="方正小标宋简体" w:hAnsi="方正小标宋简体" w:eastAsia="方正小标宋简体" w:cs="方正小标宋简体"/>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bookmarkStart w:id="0" w:name="_GoBack"/>
      <w:bookmarkEnd w:id="0"/>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2024</w:t>
      </w:r>
      <w:r>
        <w:rPr>
          <w:rFonts w:hint="eastAsia" w:ascii="仿宋_GB2312" w:hAnsi="仿宋_GB2312" w:eastAsia="仿宋_GB2312" w:cs="仿宋_GB2312"/>
          <w:color w:val="auto"/>
          <w:sz w:val="32"/>
          <w:szCs w:val="32"/>
          <w:lang w:val="en-US" w:eastAsia="zh-CN"/>
        </w:rPr>
        <w:t>年度第六十一批次城镇建设用地土地征收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54</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条有关规定</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1.3587</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花山镇平山村联合经济合作社</w:t>
      </w:r>
      <w:r>
        <w:rPr>
          <w:rFonts w:hint="eastAsia" w:ascii="Times New Roman" w:hAnsi="Times New Roman" w:eastAsia="仿宋_GB2312" w:cs="Times New Roman"/>
          <w:color w:val="auto"/>
          <w:kern w:val="2"/>
          <w:sz w:val="32"/>
          <w:szCs w:val="32"/>
          <w:highlight w:val="none"/>
          <w:u w:val="none"/>
          <w:lang w:val="en-US" w:eastAsia="zh-CN" w:bidi="ar-SA"/>
        </w:rPr>
        <w:t>属下的集体农用地</w:t>
      </w:r>
      <w:r>
        <w:rPr>
          <w:rFonts w:hint="eastAsia" w:eastAsia="仿宋_GB2312" w:cs="Times New Roman"/>
          <w:color w:val="auto"/>
          <w:kern w:val="2"/>
          <w:sz w:val="32"/>
          <w:szCs w:val="32"/>
          <w:highlight w:val="none"/>
          <w:u w:val="none"/>
          <w:lang w:val="en-US" w:eastAsia="zh-CN" w:bidi="ar-SA"/>
        </w:rPr>
        <w:t>0.4372公顷</w:t>
      </w:r>
      <w:r>
        <w:rPr>
          <w:rFonts w:hint="eastAsia" w:ascii="Times New Roman" w:hAnsi="Times New Roman" w:eastAsia="仿宋_GB2312" w:cs="Times New Roman"/>
          <w:color w:val="auto"/>
          <w:kern w:val="2"/>
          <w:sz w:val="32"/>
          <w:szCs w:val="32"/>
          <w:highlight w:val="none"/>
          <w:u w:val="none"/>
          <w:lang w:val="en-US" w:eastAsia="zh-CN" w:bidi="ar-SA"/>
        </w:rPr>
        <w:t>转为建设用地</w:t>
      </w:r>
      <w:r>
        <w:rPr>
          <w:rFonts w:hint="eastAsia" w:eastAsia="仿宋_GB2312" w:cs="Times New Roman"/>
          <w:color w:val="auto"/>
          <w:kern w:val="2"/>
          <w:sz w:val="32"/>
          <w:szCs w:val="32"/>
          <w:highlight w:val="none"/>
          <w:u w:val="none"/>
          <w:lang w:val="en-US" w:eastAsia="zh-CN" w:bidi="ar-SA"/>
        </w:rPr>
        <w:t>，同时使用上述有关村集体建设用地0.4230公顷，以上合计0.8602公顷集体土地一并办理征地手续，另同意你市将花都区属下的国有农用地0.1830公顷（其中耕地0.0086公顷）转为建设用地，同时使用上述有关单位建设用地0.3155公顷。</w:t>
      </w:r>
      <w:r>
        <w:rPr>
          <w:rFonts w:hint="eastAsia" w:ascii="Times New Roman" w:hAnsi="Times New Roman" w:eastAsia="仿宋_GB2312" w:cs="Times New Roman"/>
          <w:color w:val="auto"/>
          <w:kern w:val="2"/>
          <w:sz w:val="32"/>
          <w:szCs w:val="32"/>
          <w:highlight w:val="none"/>
          <w:u w:val="none"/>
          <w:lang w:val="en-US" w:eastAsia="zh-CN" w:bidi="ar-SA"/>
        </w:rPr>
        <w:t>上述批准建设用地</w:t>
      </w:r>
      <w:r>
        <w:rPr>
          <w:rFonts w:hint="eastAsia" w:eastAsia="仿宋_GB2312" w:cs="Times New Roman"/>
          <w:color w:val="auto"/>
          <w:kern w:val="2"/>
          <w:sz w:val="32"/>
          <w:szCs w:val="32"/>
          <w:highlight w:val="none"/>
          <w:u w:val="none"/>
          <w:lang w:val="en-US" w:eastAsia="zh-CN" w:bidi="ar-SA"/>
        </w:rPr>
        <w:t>1.3587</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675C8925">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w:t>
      </w:r>
      <w:r>
        <w:rPr>
          <w:rFonts w:hint="eastAsia" w:ascii="仿宋_GB2312" w:hAnsi="仿宋_GB2312" w:eastAsia="仿宋_GB2312" w:cs="仿宋_GB2312"/>
          <w:color w:val="auto"/>
          <w:kern w:val="0"/>
          <w:sz w:val="32"/>
          <w:szCs w:val="32"/>
          <w:lang w:eastAsia="zh-CN" w:bidi="ar"/>
        </w:rPr>
        <w:t>市人民</w:t>
      </w:r>
      <w:r>
        <w:rPr>
          <w:rFonts w:hint="eastAsia" w:ascii="仿宋_GB2312" w:hAnsi="仿宋_GB2312" w:eastAsia="仿宋_GB2312" w:cs="仿宋_GB2312"/>
          <w:color w:val="auto"/>
          <w:kern w:val="0"/>
          <w:sz w:val="32"/>
          <w:szCs w:val="32"/>
          <w:lang w:val="en-US" w:eastAsia="zh-CN" w:bidi="ar"/>
        </w:rPr>
        <w:t>政府负责落实补充耕地</w:t>
      </w:r>
      <w:r>
        <w:rPr>
          <w:rFonts w:hint="eastAsia" w:ascii="仿宋_GB2312" w:hAnsi="仿宋_GB2312" w:eastAsia="仿宋_GB2312" w:cs="仿宋_GB2312"/>
          <w:color w:val="auto"/>
          <w:sz w:val="32"/>
          <w:szCs w:val="32"/>
        </w:rPr>
        <w:t>。督促补充耕地责任单位认真</w:t>
      </w:r>
      <w:r>
        <w:rPr>
          <w:rFonts w:hint="eastAsia" w:ascii="仿宋_GB2312" w:hAnsi="仿宋_GB2312" w:eastAsia="仿宋_GB2312" w:cs="仿宋_GB2312"/>
          <w:color w:val="auto"/>
          <w:sz w:val="32"/>
          <w:szCs w:val="32"/>
          <w:lang w:eastAsia="zh-CN"/>
        </w:rPr>
        <w:t>落实耕地占补平衡</w:t>
      </w:r>
      <w:r>
        <w:rPr>
          <w:rFonts w:hint="eastAsia" w:ascii="仿宋_GB2312" w:hAnsi="仿宋_GB2312" w:eastAsia="仿宋_GB2312" w:cs="仿宋_GB2312"/>
          <w:color w:val="auto"/>
          <w:sz w:val="32"/>
          <w:szCs w:val="32"/>
        </w:rPr>
        <w:t>，补充数量相等、质量相当的耕地，对应核销耕地数量、水田规模和标准粮食产能指标（确认信息编号：</w:t>
      </w:r>
      <w:r>
        <w:rPr>
          <w:rFonts w:hint="eastAsia" w:ascii="Times New Roman" w:hAnsi="Times New Roman" w:eastAsia="仿宋_GB2312" w:cs="Times New Roman"/>
          <w:color w:val="auto"/>
          <w:kern w:val="2"/>
          <w:sz w:val="32"/>
          <w:szCs w:val="32"/>
          <w:highlight w:val="none"/>
          <w:u w:val="none"/>
          <w:lang w:val="en-US" w:eastAsia="zh-CN" w:bidi="ar-SA"/>
        </w:rPr>
        <w:t>440000202</w:t>
      </w:r>
      <w:r>
        <w:rPr>
          <w:rFonts w:hint="eastAsia" w:eastAsia="仿宋_GB2312" w:cs="Times New Roman"/>
          <w:color w:val="auto"/>
          <w:kern w:val="2"/>
          <w:sz w:val="32"/>
          <w:szCs w:val="32"/>
          <w:highlight w:val="none"/>
          <w:u w:val="none"/>
          <w:lang w:val="en-US" w:eastAsia="zh-CN" w:bidi="ar-SA"/>
        </w:rPr>
        <w:t>430462021</w:t>
      </w:r>
      <w:r>
        <w:rPr>
          <w:rFonts w:hint="eastAsia" w:ascii="仿宋_GB2312" w:hAnsi="仿宋_GB2312" w:eastAsia="仿宋_GB2312" w:cs="仿宋_GB2312"/>
          <w:color w:val="auto"/>
          <w:sz w:val="32"/>
          <w:szCs w:val="32"/>
        </w:rPr>
        <w:t>）。</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rPr>
        <w:t>四、</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8</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9</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7239E8"/>
    <w:rsid w:val="02810FF7"/>
    <w:rsid w:val="0346238A"/>
    <w:rsid w:val="0C9920D9"/>
    <w:rsid w:val="0D953957"/>
    <w:rsid w:val="13236B26"/>
    <w:rsid w:val="15EA2560"/>
    <w:rsid w:val="18F4146A"/>
    <w:rsid w:val="1B473CAE"/>
    <w:rsid w:val="1EBE5AFE"/>
    <w:rsid w:val="23BE3A38"/>
    <w:rsid w:val="24491BE9"/>
    <w:rsid w:val="26AD3E24"/>
    <w:rsid w:val="2E6F1820"/>
    <w:rsid w:val="30534F1B"/>
    <w:rsid w:val="33935FAE"/>
    <w:rsid w:val="38E15352"/>
    <w:rsid w:val="3BBA7AA0"/>
    <w:rsid w:val="3E6E486D"/>
    <w:rsid w:val="3EA242D1"/>
    <w:rsid w:val="407B1783"/>
    <w:rsid w:val="429C3C8E"/>
    <w:rsid w:val="44481963"/>
    <w:rsid w:val="449D58A0"/>
    <w:rsid w:val="467666E7"/>
    <w:rsid w:val="483A73C5"/>
    <w:rsid w:val="4ABC22F2"/>
    <w:rsid w:val="4F617A2B"/>
    <w:rsid w:val="506F56B2"/>
    <w:rsid w:val="51C56C38"/>
    <w:rsid w:val="522D01E0"/>
    <w:rsid w:val="555846C7"/>
    <w:rsid w:val="56A7023F"/>
    <w:rsid w:val="5D293D56"/>
    <w:rsid w:val="67B63BB5"/>
    <w:rsid w:val="69B5367B"/>
    <w:rsid w:val="6D593268"/>
    <w:rsid w:val="770C5427"/>
    <w:rsid w:val="7AD83918"/>
    <w:rsid w:val="7BF82EAB"/>
    <w:rsid w:val="7C7236B9"/>
    <w:rsid w:val="7E2F5E02"/>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18</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2025-09-12T03:22:36Z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