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20" w:lineRule="exact"/>
        <w:rPr>
          <w:rFonts w:eastAsia="黑体"/>
        </w:rPr>
      </w:pPr>
      <w:r>
        <w:rPr>
          <w:rFonts w:hint="eastAsia" w:eastAsia="黑体"/>
        </w:rPr>
        <w:t>附件1</w:t>
      </w:r>
    </w:p>
    <w:p>
      <w:pPr>
        <w:adjustRightInd w:val="0"/>
        <w:snapToGrid w:val="0"/>
        <w:spacing w:line="520" w:lineRule="exact"/>
        <w:jc w:val="center"/>
        <w:rPr>
          <w:rFonts w:eastAsia="方正小标宋_GBK"/>
          <w:sz w:val="44"/>
          <w:szCs w:val="44"/>
          <w:lang w:bidi="ar"/>
        </w:rPr>
      </w:pPr>
      <w:r>
        <w:rPr>
          <w:rFonts w:hint="eastAsia" w:eastAsia="方正小标宋_GBK"/>
          <w:sz w:val="44"/>
          <w:szCs w:val="44"/>
          <w:lang w:bidi="ar"/>
        </w:rPr>
        <w:t>被征地农民养老保障方案</w:t>
      </w:r>
    </w:p>
    <w:p>
      <w:pPr>
        <w:spacing w:line="520" w:lineRule="exact"/>
        <w:ind w:right="-11" w:firstLine="640" w:firstLineChars="200"/>
      </w:pPr>
    </w:p>
    <w:p>
      <w:pPr>
        <w:spacing w:line="520" w:lineRule="exact"/>
        <w:ind w:firstLine="640" w:firstLineChars="200"/>
      </w:pPr>
      <w:r>
        <w:t>依照《中华人民共和国土地管理法》</w:t>
      </w:r>
      <w:r>
        <w:rPr>
          <w:rFonts w:hint="eastAsia"/>
        </w:rPr>
        <w:t>、</w:t>
      </w:r>
      <w:r>
        <w:t>《关于切实做好被征地农民社会保障工作有关问题的通知》（劳社部发〔2007〕14号）、《广东省人民政府办公厅转发省人力资源社会保障厅关于进一步完善我省被征地农民养老保障政策意见的通知》（粤府办〔2021〕22号）和《广州市人民政府办公厅转发</w:t>
      </w:r>
      <w:r>
        <w:rPr>
          <w:rFonts w:hint="eastAsia" w:ascii="仿宋_GB2312"/>
          <w:spacing w:val="16"/>
        </w:rPr>
        <w:t>关于进一步完善</w:t>
      </w:r>
      <w:r>
        <w:t>我省被征地农民养老保障政策意见的通知》（穗府办规〔2022〕3号）</w:t>
      </w:r>
      <w:r>
        <w:rPr>
          <w:rFonts w:hint="eastAsia"/>
        </w:rPr>
        <w:t>等有关规定</w:t>
      </w:r>
      <w:r>
        <w:t>，拟定</w:t>
      </w:r>
      <w:r>
        <w:rPr>
          <w:rFonts w:hint="eastAsia"/>
          <w:szCs w:val="32"/>
          <w:lang w:bidi="ar"/>
        </w:rPr>
        <w:t>广州市天河区</w:t>
      </w:r>
      <w:r>
        <w:rPr>
          <w:szCs w:val="32"/>
          <w:lang w:bidi="ar"/>
        </w:rPr>
        <w:t>2025</w:t>
      </w:r>
      <w:r>
        <w:rPr>
          <w:rFonts w:hint="eastAsia"/>
          <w:szCs w:val="32"/>
          <w:lang w:bidi="ar"/>
        </w:rPr>
        <w:t>年度第二批次城镇建设用地</w:t>
      </w:r>
      <w:r>
        <w:t>被征地农民养老保障方案如下：</w:t>
      </w:r>
    </w:p>
    <w:p>
      <w:pPr>
        <w:tabs>
          <w:tab w:val="left" w:pos="5402"/>
        </w:tabs>
        <w:spacing w:line="560" w:lineRule="exact"/>
        <w:ind w:firstLine="640" w:firstLineChars="200"/>
      </w:pPr>
      <w:r>
        <w:t>依据广州市规划和自然资源局天河区分局提供</w:t>
      </w:r>
      <w:r>
        <w:rPr>
          <w:rFonts w:hint="eastAsia"/>
        </w:rPr>
        <w:t>情况</w:t>
      </w:r>
      <w:r>
        <w:t>的</w:t>
      </w:r>
      <w:r>
        <w:rPr>
          <w:rFonts w:hint="eastAsia"/>
        </w:rPr>
        <w:t>《</w:t>
      </w:r>
      <w:r>
        <w:t>项目征地基本情况证明</w:t>
      </w:r>
      <w:r>
        <w:rPr>
          <w:rFonts w:hint="eastAsia"/>
        </w:rPr>
        <w:t>》</w:t>
      </w:r>
      <w:r>
        <w:t>，</w:t>
      </w:r>
      <w:r>
        <w:rPr>
          <w:rFonts w:hint="eastAsia"/>
          <w:szCs w:val="32"/>
          <w:lang w:bidi="ar"/>
        </w:rPr>
        <w:t>广州市天河区2025年度第二批次城镇建设用地</w:t>
      </w:r>
      <w:r>
        <w:t>项目征收我区凤凰街渔沙坦股份合作经济联社</w:t>
      </w:r>
      <w:r>
        <w:rPr>
          <w:rFonts w:hint="eastAsia"/>
        </w:rPr>
        <w:t>集体</w:t>
      </w:r>
      <w:r>
        <w:t>土地面积12.</w:t>
      </w:r>
      <w:r>
        <w:rPr>
          <w:rFonts w:hint="eastAsia"/>
        </w:rPr>
        <w:t>9375</w:t>
      </w:r>
      <w:r>
        <w:t>亩，全部属于被征地农村集体经济组织留用地。</w:t>
      </w:r>
      <w:r>
        <w:rPr>
          <w:rFonts w:hint="eastAsia"/>
        </w:rPr>
        <w:t>根据</w:t>
      </w:r>
      <w:r>
        <w:rPr>
          <w:kern w:val="0"/>
          <w:shd w:val="clear" w:color="auto" w:fill="FFFFFF"/>
          <w:lang w:bidi="ar"/>
        </w:rPr>
        <w:t>粤府办〔2021〕22号文第二点</w:t>
      </w:r>
      <w:r>
        <w:t>规定，该项目不计提征地社保费。</w:t>
      </w:r>
    </w:p>
    <w:p>
      <w:pPr>
        <w:tabs>
          <w:tab w:val="left" w:pos="5402"/>
        </w:tabs>
        <w:spacing w:line="520" w:lineRule="exact"/>
        <w:ind w:left="1600" w:leftChars="200" w:hanging="960" w:hangingChars="300"/>
      </w:pPr>
    </w:p>
    <w:p>
      <w:pPr>
        <w:tabs>
          <w:tab w:val="left" w:pos="5402"/>
        </w:tabs>
        <w:spacing w:line="520" w:lineRule="exact"/>
        <w:ind w:left="1600" w:leftChars="200" w:hanging="960" w:hangingChars="300"/>
      </w:pPr>
      <w:r>
        <w:t>附表：</w:t>
      </w:r>
      <w:r>
        <w:rPr>
          <w:rFonts w:hint="eastAsia"/>
        </w:rPr>
        <w:t>广州市天河区2025年度第二批次城镇建设用地</w:t>
      </w:r>
      <w:r>
        <w:t xml:space="preserve">征收土地及养老保障情况表 </w:t>
      </w:r>
    </w:p>
    <w:p>
      <w:pPr>
        <w:pStyle w:val="2"/>
        <w:ind w:firstLine="480"/>
      </w:pPr>
    </w:p>
    <w:p>
      <w:pPr>
        <w:rPr>
          <w:sz w:val="24"/>
          <w:szCs w:val="32"/>
        </w:rPr>
      </w:pPr>
    </w:p>
    <w:p>
      <w:pPr>
        <w:rPr>
          <w:rFonts w:eastAsia="黑体"/>
          <w:szCs w:val="32"/>
        </w:rPr>
      </w:pPr>
    </w:p>
    <w:p>
      <w:pPr>
        <w:rPr>
          <w:rFonts w:eastAsia="黑体"/>
          <w:szCs w:val="32"/>
        </w:rPr>
      </w:pPr>
    </w:p>
    <w:p>
      <w:pPr>
        <w:spacing w:line="560" w:lineRule="exact"/>
        <w:rPr>
          <w:rFonts w:hint="eastAsia" w:eastAsia="黑体"/>
        </w:rPr>
      </w:pPr>
    </w:p>
    <w:p>
      <w:pPr>
        <w:spacing w:line="560" w:lineRule="exact"/>
        <w:rPr>
          <w:rFonts w:eastAsia="黑体"/>
        </w:rPr>
      </w:pPr>
      <w:r>
        <w:rPr>
          <w:rFonts w:eastAsia="黑体"/>
        </w:rPr>
        <w:t>附表</w:t>
      </w:r>
    </w:p>
    <w:p>
      <w:pPr>
        <w:spacing w:line="560" w:lineRule="exact"/>
        <w:ind w:right="210"/>
        <w:jc w:val="center"/>
        <w:rPr>
          <w:rFonts w:eastAsia="方正小标宋简体"/>
          <w:sz w:val="44"/>
          <w:szCs w:val="44"/>
        </w:rPr>
      </w:pPr>
    </w:p>
    <w:p>
      <w:pPr>
        <w:spacing w:line="560" w:lineRule="exact"/>
        <w:ind w:right="210"/>
        <w:jc w:val="center"/>
        <w:rPr>
          <w:rFonts w:eastAsia="方正小标宋_GBK"/>
          <w:sz w:val="44"/>
          <w:szCs w:val="44"/>
        </w:rPr>
      </w:pPr>
      <w:r>
        <w:rPr>
          <w:rFonts w:hint="eastAsia" w:eastAsia="方正小标宋_GBK"/>
          <w:sz w:val="44"/>
          <w:szCs w:val="44"/>
        </w:rPr>
        <w:t>广州市天河区2025年度第二批次城镇建设</w:t>
      </w:r>
      <w:r>
        <w:rPr>
          <w:rFonts w:hint="eastAsia" w:eastAsia="方正小标宋_GBK"/>
          <w:sz w:val="44"/>
          <w:szCs w:val="44"/>
        </w:rPr>
        <w:br w:type="textWrapping"/>
      </w:r>
      <w:r>
        <w:rPr>
          <w:rFonts w:hint="eastAsia" w:eastAsia="方正小标宋_GBK"/>
          <w:sz w:val="44"/>
          <w:szCs w:val="44"/>
        </w:rPr>
        <w:t>用地</w:t>
      </w:r>
      <w:r>
        <w:rPr>
          <w:rFonts w:eastAsia="方正小标宋_GBK"/>
          <w:sz w:val="44"/>
          <w:szCs w:val="44"/>
        </w:rPr>
        <w:t>征收土地及养老保障情况表</w:t>
      </w:r>
    </w:p>
    <w:p>
      <w:pPr>
        <w:pStyle w:val="2"/>
        <w:spacing w:line="560" w:lineRule="exact"/>
        <w:ind w:firstLine="480"/>
      </w:pPr>
    </w:p>
    <w:p>
      <w:pPr>
        <w:spacing w:line="600" w:lineRule="exact"/>
        <w:ind w:right="770"/>
        <w:jc w:val="right"/>
        <w:rPr>
          <w:sz w:val="28"/>
          <w:szCs w:val="28"/>
        </w:rPr>
      </w:pPr>
      <w:r>
        <w:rPr>
          <w:sz w:val="28"/>
          <w:szCs w:val="28"/>
        </w:rPr>
        <w:t>单位：亩、万元</w:t>
      </w:r>
    </w:p>
    <w:tbl>
      <w:tblPr>
        <w:tblStyle w:val="4"/>
        <w:tblW w:w="8706" w:type="dxa"/>
        <w:jc w:val="center"/>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0" w:type="dxa"/>
          <w:bottom w:w="0" w:type="dxa"/>
          <w:right w:w="0" w:type="dxa"/>
        </w:tblCellMar>
      </w:tblPr>
      <w:tblGrid>
        <w:gridCol w:w="1313"/>
        <w:gridCol w:w="2542"/>
        <w:gridCol w:w="2205"/>
        <w:gridCol w:w="1560"/>
        <w:gridCol w:w="1086"/>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1050" w:hRule="atLeast"/>
          <w:jc w:val="center"/>
        </w:trPr>
        <w:tc>
          <w:tcPr>
            <w:tcW w:w="3855"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被征地单位</w:t>
            </w:r>
          </w:p>
        </w:tc>
        <w:tc>
          <w:tcPr>
            <w:tcW w:w="220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征收土地面积</w:t>
            </w:r>
          </w:p>
        </w:tc>
        <w:tc>
          <w:tcPr>
            <w:tcW w:w="156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kern w:val="0"/>
                <w:sz w:val="24"/>
                <w:szCs w:val="24"/>
              </w:rPr>
              <w:t>其中属于被征地单位留用地面积</w:t>
            </w:r>
          </w:p>
        </w:tc>
        <w:tc>
          <w:tcPr>
            <w:tcW w:w="1086"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需计提征地社保费</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1313" w:type="dxa"/>
            <w:tcBorders>
              <w:top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hint="eastAsia"/>
                <w:kern w:val="0"/>
                <w:sz w:val="24"/>
                <w:szCs w:val="24"/>
              </w:rPr>
              <w:t>凤凰</w:t>
            </w:r>
            <w:r>
              <w:rPr>
                <w:kern w:val="0"/>
                <w:sz w:val="24"/>
                <w:szCs w:val="24"/>
              </w:rPr>
              <w:t>街</w:t>
            </w:r>
          </w:p>
        </w:tc>
        <w:tc>
          <w:tcPr>
            <w:tcW w:w="2542"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渔沙坦</w:t>
            </w:r>
            <w:r>
              <w:rPr>
                <w:kern w:val="0"/>
                <w:sz w:val="24"/>
                <w:szCs w:val="24"/>
              </w:rPr>
              <w:t>股份合</w:t>
            </w:r>
            <w:r>
              <w:rPr>
                <w:rFonts w:hint="eastAsia"/>
                <w:kern w:val="0"/>
                <w:sz w:val="24"/>
                <w:szCs w:val="24"/>
              </w:rPr>
              <w:t>作</w:t>
            </w:r>
            <w:r>
              <w:rPr>
                <w:rFonts w:hint="eastAsia"/>
                <w:kern w:val="0"/>
                <w:sz w:val="24"/>
                <w:szCs w:val="24"/>
              </w:rPr>
              <w:br w:type="textWrapping"/>
            </w:r>
            <w:r>
              <w:rPr>
                <w:kern w:val="0"/>
                <w:sz w:val="24"/>
                <w:szCs w:val="24"/>
              </w:rPr>
              <w:t>经济联社</w:t>
            </w:r>
          </w:p>
        </w:tc>
        <w:tc>
          <w:tcPr>
            <w:tcW w:w="220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firstLine="612"/>
              <w:rPr>
                <w:kern w:val="0"/>
                <w:sz w:val="24"/>
                <w:szCs w:val="24"/>
              </w:rPr>
            </w:pPr>
            <w:r>
              <w:rPr>
                <w:rFonts w:hint="eastAsia"/>
                <w:kern w:val="0"/>
                <w:sz w:val="24"/>
                <w:szCs w:val="24"/>
              </w:rPr>
              <w:t>12.9375</w:t>
            </w:r>
          </w:p>
        </w:tc>
        <w:tc>
          <w:tcPr>
            <w:tcW w:w="156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12.9375</w:t>
            </w:r>
          </w:p>
        </w:tc>
        <w:tc>
          <w:tcPr>
            <w:tcW w:w="1086" w:type="dxa"/>
            <w:tcBorders>
              <w:top w:val="single" w:color="auto" w:sz="4" w:space="0"/>
              <w:left w:val="single" w:color="auto" w:sz="4" w:space="0"/>
              <w:bottom w:val="single" w:color="auto" w:sz="4" w:space="0"/>
              <w:right w:val="single" w:color="auto" w:sz="4" w:space="0"/>
            </w:tcBorders>
            <w:vAlign w:val="center"/>
          </w:tcPr>
          <w:p>
            <w:pPr>
              <w:widowControl/>
              <w:spacing w:line="300" w:lineRule="exact"/>
              <w:jc w:val="center"/>
              <w:rPr>
                <w:kern w:val="0"/>
                <w:sz w:val="24"/>
                <w:szCs w:val="24"/>
              </w:rPr>
            </w:pPr>
            <w:r>
              <w:rPr>
                <w:rFonts w:hint="eastAsia"/>
                <w:kern w:val="0"/>
                <w:sz w:val="24"/>
                <w:szCs w:val="24"/>
              </w:rPr>
              <w:t>0</w:t>
            </w:r>
          </w:p>
        </w:tc>
      </w:tr>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0" w:type="dxa"/>
            <w:bottom w:w="0" w:type="dxa"/>
            <w:right w:w="0" w:type="dxa"/>
          </w:tblCellMar>
        </w:tblPrEx>
        <w:trPr>
          <w:trHeight w:val="765" w:hRule="atLeast"/>
          <w:jc w:val="center"/>
        </w:trPr>
        <w:tc>
          <w:tcPr>
            <w:tcW w:w="3855" w:type="dxa"/>
            <w:gridSpan w:val="2"/>
            <w:tcBorders>
              <w:top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kern w:val="0"/>
                <w:sz w:val="24"/>
                <w:szCs w:val="24"/>
              </w:rPr>
              <w:t>合计</w:t>
            </w:r>
          </w:p>
        </w:tc>
        <w:tc>
          <w:tcPr>
            <w:tcW w:w="2205"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firstLine="612"/>
              <w:rPr>
                <w:kern w:val="0"/>
                <w:sz w:val="24"/>
                <w:szCs w:val="24"/>
              </w:rPr>
            </w:pPr>
            <w:r>
              <w:rPr>
                <w:rFonts w:hint="eastAsia"/>
                <w:kern w:val="0"/>
                <w:sz w:val="24"/>
                <w:szCs w:val="24"/>
              </w:rPr>
              <w:t>12.9375</w:t>
            </w:r>
          </w:p>
        </w:tc>
        <w:tc>
          <w:tcPr>
            <w:tcW w:w="1560" w:type="dxa"/>
            <w:tcBorders>
              <w:top w:val="single" w:color="auto" w:sz="4" w:space="0"/>
              <w:left w:val="single" w:color="auto" w:sz="4" w:space="0"/>
              <w:bottom w:val="single" w:color="auto" w:sz="4" w:space="0"/>
              <w:right w:val="single" w:color="auto" w:sz="4" w:space="0"/>
            </w:tcBorders>
            <w:tcMar>
              <w:left w:w="108" w:type="dxa"/>
              <w:right w:w="108" w:type="dxa"/>
            </w:tcMar>
            <w:vAlign w:val="center"/>
          </w:tcPr>
          <w:p>
            <w:pPr>
              <w:widowControl/>
              <w:spacing w:line="300" w:lineRule="exact"/>
              <w:ind w:left="-38" w:leftChars="-12"/>
              <w:jc w:val="center"/>
              <w:rPr>
                <w:kern w:val="0"/>
                <w:sz w:val="24"/>
                <w:szCs w:val="24"/>
              </w:rPr>
            </w:pPr>
            <w:r>
              <w:rPr>
                <w:rFonts w:hint="eastAsia"/>
                <w:kern w:val="0"/>
                <w:sz w:val="24"/>
                <w:szCs w:val="24"/>
              </w:rPr>
              <w:t>12.9375</w:t>
            </w:r>
          </w:p>
        </w:tc>
        <w:tc>
          <w:tcPr>
            <w:tcW w:w="1086" w:type="dxa"/>
            <w:tcBorders>
              <w:top w:val="single" w:color="auto" w:sz="4" w:space="0"/>
              <w:left w:val="single" w:color="auto" w:sz="4" w:space="0"/>
              <w:bottom w:val="single" w:color="auto" w:sz="4" w:space="0"/>
              <w:right w:val="single" w:color="auto" w:sz="4" w:space="0"/>
            </w:tcBorders>
            <w:vAlign w:val="center"/>
          </w:tcPr>
          <w:p>
            <w:pPr>
              <w:widowControl/>
              <w:spacing w:line="300" w:lineRule="exact"/>
              <w:ind w:left="-38" w:leftChars="-12"/>
              <w:jc w:val="center"/>
              <w:rPr>
                <w:kern w:val="0"/>
                <w:sz w:val="24"/>
                <w:szCs w:val="24"/>
              </w:rPr>
            </w:pPr>
            <w:r>
              <w:rPr>
                <w:rFonts w:hint="eastAsia"/>
                <w:kern w:val="0"/>
                <w:sz w:val="24"/>
                <w:szCs w:val="24"/>
              </w:rPr>
              <w:t>0</w:t>
            </w:r>
          </w:p>
        </w:tc>
      </w:tr>
    </w:tbl>
    <w:p>
      <w:pPr>
        <w:spacing w:line="560" w:lineRule="exact"/>
        <w:ind w:firstLine="960" w:firstLineChars="300"/>
        <w:textAlignment w:val="baseline"/>
        <w:rPr>
          <w:sz w:val="28"/>
          <w:szCs w:val="28"/>
        </w:rPr>
      </w:pPr>
      <w:r>
        <w:rPr>
          <w:rFonts w:hint="eastAsia"/>
          <w:szCs w:val="32"/>
        </w:rPr>
        <w:t>备注：</w:t>
      </w:r>
      <w:r>
        <w:rPr>
          <w:szCs w:val="32"/>
        </w:rPr>
        <w:t>被征收土地全部属于农村集体经济组织留用地的，按规定不计提征地社保费。</w:t>
      </w:r>
      <w:bookmarkStart w:id="0" w:name="_GoBack"/>
      <w:bookmarkEnd w:id="0"/>
    </w:p>
    <w:sectPr>
      <w:footerReference r:id="rId3" w:type="default"/>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3"/>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JiZGMwZGNkODZiYTBkOTU4ZjliNWQzYmZmMmRjODUifQ=="/>
  </w:docVars>
  <w:rsids>
    <w:rsidRoot w:val="BBBD5EA7"/>
    <w:rsid w:val="00075D45"/>
    <w:rsid w:val="00092B50"/>
    <w:rsid w:val="000C2CC8"/>
    <w:rsid w:val="00124796"/>
    <w:rsid w:val="00196DA6"/>
    <w:rsid w:val="00441288"/>
    <w:rsid w:val="00473DC4"/>
    <w:rsid w:val="00493299"/>
    <w:rsid w:val="004A1EF5"/>
    <w:rsid w:val="00504DC8"/>
    <w:rsid w:val="0052551F"/>
    <w:rsid w:val="00557DEC"/>
    <w:rsid w:val="00872418"/>
    <w:rsid w:val="008F1036"/>
    <w:rsid w:val="009655A8"/>
    <w:rsid w:val="00A0301C"/>
    <w:rsid w:val="00A24A2B"/>
    <w:rsid w:val="00A33190"/>
    <w:rsid w:val="00B95496"/>
    <w:rsid w:val="00C117DA"/>
    <w:rsid w:val="00CA1B7F"/>
    <w:rsid w:val="00D971C9"/>
    <w:rsid w:val="00EC2DE8"/>
    <w:rsid w:val="00F5609C"/>
    <w:rsid w:val="00F96DC1"/>
    <w:rsid w:val="03491A95"/>
    <w:rsid w:val="04130D99"/>
    <w:rsid w:val="05B35AE3"/>
    <w:rsid w:val="06763BE5"/>
    <w:rsid w:val="0ADC1F0D"/>
    <w:rsid w:val="0ADF5EB2"/>
    <w:rsid w:val="0D5E6399"/>
    <w:rsid w:val="0FA211BD"/>
    <w:rsid w:val="0FD305C5"/>
    <w:rsid w:val="0FE34B24"/>
    <w:rsid w:val="100463BC"/>
    <w:rsid w:val="10DB2CC1"/>
    <w:rsid w:val="14CD7317"/>
    <w:rsid w:val="154E4E4D"/>
    <w:rsid w:val="1936714C"/>
    <w:rsid w:val="1A266B42"/>
    <w:rsid w:val="1CCA6D81"/>
    <w:rsid w:val="1D1D4110"/>
    <w:rsid w:val="20AF208F"/>
    <w:rsid w:val="212A41EA"/>
    <w:rsid w:val="2131482B"/>
    <w:rsid w:val="23F66812"/>
    <w:rsid w:val="2554558C"/>
    <w:rsid w:val="25C214DB"/>
    <w:rsid w:val="27735B86"/>
    <w:rsid w:val="28FC1FFC"/>
    <w:rsid w:val="29C37FBC"/>
    <w:rsid w:val="2D6E74F4"/>
    <w:rsid w:val="2E6B12E3"/>
    <w:rsid w:val="32A52C77"/>
    <w:rsid w:val="37E83AD9"/>
    <w:rsid w:val="38DB3D3B"/>
    <w:rsid w:val="3A630075"/>
    <w:rsid w:val="3B4F7FF4"/>
    <w:rsid w:val="3BA4688E"/>
    <w:rsid w:val="3D5D67EF"/>
    <w:rsid w:val="440B432C"/>
    <w:rsid w:val="46A73880"/>
    <w:rsid w:val="46E80A32"/>
    <w:rsid w:val="4803619C"/>
    <w:rsid w:val="4C625BAD"/>
    <w:rsid w:val="4D2320E0"/>
    <w:rsid w:val="4D301B17"/>
    <w:rsid w:val="4D6C68F4"/>
    <w:rsid w:val="52C052C1"/>
    <w:rsid w:val="5443534C"/>
    <w:rsid w:val="5AEE448C"/>
    <w:rsid w:val="5D2F6E7D"/>
    <w:rsid w:val="5D397D38"/>
    <w:rsid w:val="5F152CDE"/>
    <w:rsid w:val="5F1812A2"/>
    <w:rsid w:val="5FA97535"/>
    <w:rsid w:val="61F354C2"/>
    <w:rsid w:val="63804284"/>
    <w:rsid w:val="63EB7898"/>
    <w:rsid w:val="642E55F3"/>
    <w:rsid w:val="64E76D9B"/>
    <w:rsid w:val="658022A3"/>
    <w:rsid w:val="65EF458C"/>
    <w:rsid w:val="671007B9"/>
    <w:rsid w:val="67D867EE"/>
    <w:rsid w:val="6A7C03D4"/>
    <w:rsid w:val="6B6411EE"/>
    <w:rsid w:val="6C7F2AAD"/>
    <w:rsid w:val="6FE46D1E"/>
    <w:rsid w:val="70020564"/>
    <w:rsid w:val="70A837C7"/>
    <w:rsid w:val="723E2CF6"/>
    <w:rsid w:val="73E346C9"/>
    <w:rsid w:val="760D222B"/>
    <w:rsid w:val="765D7971"/>
    <w:rsid w:val="7789063B"/>
    <w:rsid w:val="778D5E75"/>
    <w:rsid w:val="77C84227"/>
    <w:rsid w:val="78C35CCE"/>
    <w:rsid w:val="7CBC415F"/>
    <w:rsid w:val="7CD91A4A"/>
    <w:rsid w:val="7D1767BA"/>
    <w:rsid w:val="7F442557"/>
    <w:rsid w:val="BBBD5E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Normal Indent"/>
    <w:basedOn w:val="1"/>
    <w:unhideWhenUsed/>
    <w:qFormat/>
    <w:uiPriority w:val="99"/>
    <w:pPr>
      <w:ind w:firstLine="420" w:firstLineChars="200"/>
    </w:pPr>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customStyle="1" w:styleId="6">
    <w:name w:val="修订1"/>
    <w:hidden/>
    <w:unhideWhenUsed/>
    <w:qFormat/>
    <w:uiPriority w:val="99"/>
    <w:rPr>
      <w:rFonts w:ascii="Times New Roman" w:hAnsi="Times New Roman" w:eastAsia="仿宋_GB2312" w:cs="Times New Roman"/>
      <w:kern w:val="2"/>
      <w:sz w:val="32"/>
      <w:lang w:val="en-US" w:eastAsia="zh-CN" w:bidi="ar-SA"/>
    </w:rPr>
  </w:style>
  <w:style w:type="paragraph" w:customStyle="1" w:styleId="7">
    <w:name w:val="Revision"/>
    <w:hidden/>
    <w:unhideWhenUsed/>
    <w:qFormat/>
    <w:uiPriority w:val="99"/>
    <w:rPr>
      <w:rFonts w:ascii="Times New Roman" w:hAnsi="Times New Roman" w:eastAsia="仿宋_GB2312" w:cs="Times New Roman"/>
      <w:kern w:val="2"/>
      <w:sz w:val="32"/>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311</Words>
  <Characters>1774</Characters>
  <Lines>14</Lines>
  <Paragraphs>4</Paragraphs>
  <TotalTime>1</TotalTime>
  <ScaleCrop>false</ScaleCrop>
  <LinksUpToDate>false</LinksUpToDate>
  <CharactersWithSpaces>2081</CharactersWithSpaces>
  <Application>WPS Office_11.8.2.12118_F1E327BC-269C-435d-A152-05C5408002CA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2025-01-14T11:35:00Z</dcterms:created>
  <dc:creator>黄跃生</dc:creator>
  <cp:lastModifiedBy>赵春丽</cp:lastModifiedBy>
  <dcterms:modified xsi:type="dcterms:W3CDTF">2025-10-29T02:12:54Z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ABBE2D0C554E4E9B90202780AE1EE8D7</vt:lpwstr>
  </property>
  <property fmtid="{D5CDD505-2E9C-101B-9397-08002B2CF9AE}" pid="4" name="KSOTemplateDocerSaveRecord">
    <vt:lpwstr>eyJoZGlkIjoiMGIzMjE0NjhkN2NlNTU0YTcwYjZhNGYzYjMxODk3YTYifQ==</vt:lpwstr>
  </property>
</Properties>
</file>