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3D0C1">
      <w:pPr>
        <w:spacing w:line="262" w:lineRule="auto"/>
        <w:rPr>
          <w:rFonts w:ascii="Arial"/>
          <w:sz w:val="21"/>
        </w:rPr>
      </w:pPr>
    </w:p>
    <w:p w14:paraId="75F258F7">
      <w:pPr>
        <w:spacing w:line="262" w:lineRule="auto"/>
        <w:rPr>
          <w:rFonts w:ascii="Arial"/>
          <w:sz w:val="21"/>
        </w:rPr>
      </w:pPr>
    </w:p>
    <w:p w14:paraId="457FD684">
      <w:pPr>
        <w:spacing w:line="263" w:lineRule="auto"/>
        <w:rPr>
          <w:rFonts w:ascii="Arial"/>
          <w:sz w:val="21"/>
        </w:rPr>
      </w:pPr>
    </w:p>
    <w:p w14:paraId="603D5012">
      <w:pPr>
        <w:spacing w:line="263" w:lineRule="auto"/>
        <w:rPr>
          <w:rFonts w:ascii="Arial"/>
          <w:sz w:val="21"/>
        </w:rPr>
      </w:pPr>
    </w:p>
    <w:p w14:paraId="2498A848">
      <w:pPr>
        <w:spacing w:before="153" w:line="219" w:lineRule="auto"/>
        <w:ind w:left="37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41"/>
          <w:sz w:val="47"/>
          <w:szCs w:val="47"/>
        </w:rPr>
        <w:t>关于广州市花都区2025年度第一百一十四批次</w:t>
      </w:r>
    </w:p>
    <w:p w14:paraId="1A909DC8">
      <w:pPr>
        <w:spacing w:before="32" w:line="219" w:lineRule="auto"/>
        <w:ind w:left="93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22"/>
          <w:sz w:val="47"/>
          <w:szCs w:val="47"/>
        </w:rPr>
        <w:t>城镇建设用地(广州市花都区新街村、</w:t>
      </w:r>
    </w:p>
    <w:p w14:paraId="17F39B17">
      <w:pPr>
        <w:spacing w:before="32" w:line="219" w:lineRule="auto"/>
        <w:ind w:left="114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17"/>
          <w:sz w:val="47"/>
          <w:szCs w:val="47"/>
        </w:rPr>
        <w:t>大陵村城中村改造项目地块五)项目</w:t>
      </w:r>
    </w:p>
    <w:p w14:paraId="115203FD">
      <w:pPr>
        <w:spacing w:before="35" w:line="219" w:lineRule="auto"/>
        <w:ind w:left="226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34"/>
          <w:sz w:val="47"/>
          <w:szCs w:val="47"/>
        </w:rPr>
        <w:t>被征地农民养老保障方案</w:t>
      </w:r>
    </w:p>
    <w:p w14:paraId="1B0B23D8">
      <w:pPr>
        <w:spacing w:line="270" w:lineRule="auto"/>
        <w:rPr>
          <w:rFonts w:ascii="Arial"/>
          <w:sz w:val="21"/>
        </w:rPr>
      </w:pPr>
    </w:p>
    <w:p w14:paraId="764D3D19">
      <w:pPr>
        <w:spacing w:line="271" w:lineRule="auto"/>
        <w:rPr>
          <w:rFonts w:ascii="Arial"/>
          <w:sz w:val="21"/>
        </w:rPr>
      </w:pPr>
    </w:p>
    <w:p w14:paraId="5AA54C2E">
      <w:pPr>
        <w:pStyle w:val="2"/>
        <w:spacing w:before="105" w:line="318" w:lineRule="auto"/>
        <w:ind w:left="209" w:right="188" w:firstLine="680"/>
      </w:pPr>
      <w:r>
        <w:rPr>
          <w:spacing w:val="-5"/>
        </w:rPr>
        <w:t>依照《中华人民共和国土地管理法》《关于</w:t>
      </w:r>
      <w:r>
        <w:rPr>
          <w:spacing w:val="-6"/>
        </w:rPr>
        <w:t>切实做好被征地</w:t>
      </w:r>
      <w:r>
        <w:t xml:space="preserve"> </w:t>
      </w:r>
      <w:r>
        <w:rPr>
          <w:spacing w:val="9"/>
        </w:rPr>
        <w:t>农民社会保障工作有关问题的通知》(劳社部发〔</w:t>
      </w:r>
      <w:r>
        <w:rPr>
          <w:spacing w:val="8"/>
        </w:rPr>
        <w:t>2007〕14号)</w:t>
      </w:r>
      <w:r>
        <w:t xml:space="preserve"> </w:t>
      </w:r>
      <w:r>
        <w:rPr>
          <w:spacing w:val="7"/>
        </w:rPr>
        <w:t>《广东省人民政府办公厅转发省人力资源社会保障厅关于进一</w:t>
      </w:r>
      <w:r>
        <w:rPr>
          <w:spacing w:val="6"/>
        </w:rPr>
        <w:t xml:space="preserve"> </w:t>
      </w:r>
      <w:r>
        <w:rPr>
          <w:spacing w:val="25"/>
        </w:rPr>
        <w:t>步完善我省被征地农民养老保障政策意见的通知》(粤府办</w:t>
      </w:r>
      <w:r>
        <w:rPr>
          <w:spacing w:val="10"/>
        </w:rPr>
        <w:t xml:space="preserve"> </w:t>
      </w:r>
      <w:r>
        <w:rPr>
          <w:spacing w:val="11"/>
        </w:rPr>
        <w:t>〔2021〕22号)第八条、原《转发省人力资源社会保障厅关于</w:t>
      </w:r>
      <w:r>
        <w:t xml:space="preserve"> </w:t>
      </w:r>
      <w:r>
        <w:rPr>
          <w:spacing w:val="1"/>
        </w:rPr>
        <w:t>进一步做好我省被征地农民养老保障工作意见的通知》(粤府办</w:t>
      </w:r>
      <w:r>
        <w:rPr>
          <w:spacing w:val="12"/>
        </w:rPr>
        <w:t xml:space="preserve"> </w:t>
      </w:r>
      <w:r>
        <w:rPr>
          <w:spacing w:val="11"/>
        </w:rPr>
        <w:t>〔2010〕41号，下简称原征地社保政策)、《广州市人民</w:t>
      </w:r>
      <w:r>
        <w:rPr>
          <w:spacing w:val="10"/>
        </w:rPr>
        <w:t>政府</w:t>
      </w:r>
      <w:r>
        <w:t xml:space="preserve"> </w:t>
      </w:r>
      <w:r>
        <w:rPr>
          <w:spacing w:val="-1"/>
        </w:rPr>
        <w:t>办公厅关于印发广州市城乡居民养老保险实施办法的</w:t>
      </w:r>
      <w:r>
        <w:rPr>
          <w:spacing w:val="-2"/>
        </w:rPr>
        <w:t>通知》(穗</w:t>
      </w:r>
      <w:r>
        <w:t xml:space="preserve">  </w:t>
      </w:r>
      <w:r>
        <w:rPr>
          <w:spacing w:val="29"/>
        </w:rPr>
        <w:t>府办规(2021)8号)第九条等有关规定，拟定广州市花都区</w:t>
      </w:r>
      <w:r>
        <w:t xml:space="preserve"> </w:t>
      </w:r>
      <w:r>
        <w:rPr>
          <w:spacing w:val="12"/>
        </w:rPr>
        <w:t>2025年度第一百一十四批次城镇建设用地(广州市花都区新街</w:t>
      </w:r>
      <w:r>
        <w:rPr>
          <w:spacing w:val="1"/>
        </w:rPr>
        <w:t xml:space="preserve"> </w:t>
      </w:r>
      <w:r>
        <w:t>村、大陵村城中村改造项目地块五)项目被征地农民养老保障方</w:t>
      </w:r>
      <w:r>
        <w:rPr>
          <w:spacing w:val="10"/>
        </w:rPr>
        <w:t xml:space="preserve"> </w:t>
      </w:r>
      <w:r>
        <w:rPr>
          <w:spacing w:val="-14"/>
        </w:rPr>
        <w:t>案如下：</w:t>
      </w:r>
    </w:p>
    <w:p w14:paraId="1B158F10">
      <w:pPr>
        <w:pStyle w:val="2"/>
        <w:spacing w:before="102" w:line="323" w:lineRule="auto"/>
        <w:ind w:left="209" w:right="237" w:firstLine="670"/>
      </w:pPr>
      <w:r>
        <w:rPr>
          <w:spacing w:val="4"/>
        </w:rPr>
        <w:t>一</w:t>
      </w:r>
      <w:r>
        <w:rPr>
          <w:spacing w:val="-77"/>
        </w:rPr>
        <w:t xml:space="preserve"> </w:t>
      </w:r>
      <w:r>
        <w:rPr>
          <w:spacing w:val="4"/>
        </w:rPr>
        <w:t>、对广州市花都区2025年度第一百一十四批次城镇建设</w:t>
      </w:r>
      <w:r>
        <w:t xml:space="preserve"> </w:t>
      </w:r>
      <w:r>
        <w:rPr>
          <w:spacing w:val="7"/>
        </w:rPr>
        <w:t>用地(广州市花都区新街村、大陵村城中村改造项目地</w:t>
      </w:r>
      <w:r>
        <w:rPr>
          <w:spacing w:val="6"/>
        </w:rPr>
        <w:t>块五)项</w:t>
      </w:r>
    </w:p>
    <w:p w14:paraId="11766415">
      <w:pPr>
        <w:spacing w:line="323" w:lineRule="auto"/>
        <w:sectPr>
          <w:footerReference r:id="rId5" w:type="default"/>
          <w:pgSz w:w="11910" w:h="16850"/>
          <w:pgMar w:top="1264" w:right="1219" w:bottom="1870" w:left="1380" w:header="0" w:footer="1810" w:gutter="0"/>
          <w:cols w:space="720" w:num="1"/>
        </w:sectPr>
      </w:pPr>
    </w:p>
    <w:p w14:paraId="09885024">
      <w:pPr>
        <w:spacing w:line="319" w:lineRule="auto"/>
        <w:rPr>
          <w:rFonts w:ascii="Arial"/>
          <w:sz w:val="21"/>
        </w:rPr>
      </w:pPr>
    </w:p>
    <w:p w14:paraId="25C5A691">
      <w:pPr>
        <w:spacing w:line="320" w:lineRule="auto"/>
        <w:rPr>
          <w:rFonts w:ascii="Arial"/>
          <w:sz w:val="21"/>
        </w:rPr>
      </w:pPr>
    </w:p>
    <w:p w14:paraId="4EE3761E">
      <w:pPr>
        <w:pStyle w:val="2"/>
        <w:spacing w:before="101" w:line="332" w:lineRule="auto"/>
        <w:ind w:firstLine="110"/>
        <w:jc w:val="both"/>
        <w:rPr>
          <w:sz w:val="31"/>
          <w:szCs w:val="31"/>
        </w:rPr>
      </w:pPr>
      <w:r>
        <w:rPr>
          <w:spacing w:val="1"/>
          <w:sz w:val="31"/>
          <w:szCs w:val="31"/>
        </w:rPr>
        <w:t>目涉及的被征地农民实施社会养老保障。依据市规划和自然资源</w:t>
      </w:r>
      <w:r>
        <w:rPr>
          <w:spacing w:val="16"/>
          <w:sz w:val="31"/>
          <w:szCs w:val="31"/>
        </w:rPr>
        <w:t xml:space="preserve"> </w:t>
      </w:r>
      <w:r>
        <w:rPr>
          <w:spacing w:val="19"/>
          <w:sz w:val="31"/>
          <w:szCs w:val="31"/>
        </w:rPr>
        <w:t>局花都区分局提供情况，该项目征地双方于2021年7月完成征</w:t>
      </w:r>
      <w:r>
        <w:rPr>
          <w:spacing w:val="12"/>
          <w:sz w:val="31"/>
          <w:szCs w:val="31"/>
        </w:rPr>
        <w:t xml:space="preserve"> </w:t>
      </w:r>
      <w:r>
        <w:rPr>
          <w:spacing w:val="14"/>
          <w:sz w:val="31"/>
          <w:szCs w:val="31"/>
        </w:rPr>
        <w:t>地补偿安置协议签订，按粤府办〔2021〕22号文</w:t>
      </w:r>
      <w:r>
        <w:rPr>
          <w:spacing w:val="13"/>
          <w:sz w:val="31"/>
          <w:szCs w:val="31"/>
        </w:rPr>
        <w:t>第八点规定执</w:t>
      </w:r>
      <w:r>
        <w:rPr>
          <w:sz w:val="31"/>
          <w:szCs w:val="31"/>
        </w:rPr>
        <w:t xml:space="preserve"> 行原征地社保政策。</w:t>
      </w:r>
    </w:p>
    <w:p w14:paraId="30C97AEA">
      <w:pPr>
        <w:pStyle w:val="2"/>
        <w:spacing w:before="14" w:line="326" w:lineRule="auto"/>
        <w:ind w:right="28" w:firstLine="690"/>
        <w:rPr>
          <w:sz w:val="25"/>
          <w:szCs w:val="25"/>
        </w:rPr>
      </w:pPr>
      <w:r>
        <w:rPr>
          <w:spacing w:val="13"/>
          <w:sz w:val="31"/>
          <w:szCs w:val="31"/>
        </w:rPr>
        <w:t>二、被征地农民养老保障的对象。广州市花都区2025年度</w:t>
      </w:r>
      <w:r>
        <w:rPr>
          <w:spacing w:val="14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第一百一十四批次城镇建设用地(广州市花都区新街村、大陵村</w:t>
      </w:r>
      <w:r>
        <w:rPr>
          <w:spacing w:val="2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城中村改造项目地块五)项目征收我区新华街新街村土地面积共</w:t>
      </w:r>
      <w:r>
        <w:rPr>
          <w:spacing w:val="2"/>
          <w:sz w:val="31"/>
          <w:szCs w:val="31"/>
        </w:rPr>
        <w:t xml:space="preserve"> </w:t>
      </w:r>
      <w:r>
        <w:rPr>
          <w:spacing w:val="23"/>
          <w:sz w:val="31"/>
          <w:szCs w:val="31"/>
        </w:rPr>
        <w:t>69.8325亩(其中0亩属于被征地单位留用地)。该项目涉及的</w:t>
      </w:r>
      <w:r>
        <w:rPr>
          <w:spacing w:val="16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被征地单位留用地按规定不计提征地社保费，其余被征土地涉及</w:t>
      </w:r>
      <w:r>
        <w:rPr>
          <w:spacing w:val="18"/>
          <w:sz w:val="31"/>
          <w:szCs w:val="31"/>
        </w:rPr>
        <w:t xml:space="preserve"> </w:t>
      </w:r>
      <w:r>
        <w:rPr>
          <w:spacing w:val="20"/>
          <w:sz w:val="31"/>
          <w:szCs w:val="31"/>
        </w:rPr>
        <w:t>应纳入养老保障范围的被征地农民共910人。具</w:t>
      </w:r>
      <w:r>
        <w:rPr>
          <w:spacing w:val="19"/>
          <w:sz w:val="31"/>
          <w:szCs w:val="31"/>
        </w:rPr>
        <w:t>体名单经村民</w:t>
      </w:r>
      <w:r>
        <w:rPr>
          <w:sz w:val="31"/>
          <w:szCs w:val="31"/>
        </w:rPr>
        <w:t xml:space="preserve"> </w:t>
      </w:r>
      <w:r>
        <w:rPr>
          <w:spacing w:val="26"/>
          <w:sz w:val="31"/>
          <w:szCs w:val="31"/>
        </w:rPr>
        <w:t>(股东)大会或村民(股东)代表大会讨论，由村委会报镇人民</w:t>
      </w:r>
      <w:r>
        <w:rPr>
          <w:spacing w:val="1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政府核准、公示后确定，送所属社会保险经</w:t>
      </w:r>
      <w:r>
        <w:rPr>
          <w:spacing w:val="3"/>
          <w:sz w:val="31"/>
          <w:szCs w:val="31"/>
        </w:rPr>
        <w:t>办部门办理相关社保</w:t>
      </w:r>
      <w:r>
        <w:rPr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手续</w:t>
      </w:r>
      <w:r>
        <w:rPr>
          <w:spacing w:val="-12"/>
          <w:sz w:val="25"/>
          <w:szCs w:val="25"/>
        </w:rPr>
        <w:t>。</w:t>
      </w:r>
    </w:p>
    <w:p w14:paraId="215D586A">
      <w:pPr>
        <w:pStyle w:val="2"/>
        <w:spacing w:before="210" w:line="309" w:lineRule="auto"/>
        <w:ind w:right="22" w:firstLine="690"/>
        <w:rPr>
          <w:sz w:val="31"/>
          <w:szCs w:val="31"/>
        </w:rPr>
      </w:pPr>
      <w:r>
        <w:rPr>
          <w:spacing w:val="25"/>
          <w:sz w:val="31"/>
          <w:szCs w:val="31"/>
        </w:rPr>
        <w:t>三、征地社保费筹集。征地主体(用地单位)按</w:t>
      </w:r>
      <w:r>
        <w:rPr>
          <w:spacing w:val="24"/>
          <w:sz w:val="31"/>
          <w:szCs w:val="31"/>
        </w:rPr>
        <w:t>每人1.62</w:t>
      </w:r>
      <w:r>
        <w:rPr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万元的标准和应纳入养老保障范围的被征地农民人数，将需计提</w:t>
      </w:r>
      <w:r>
        <w:rPr>
          <w:spacing w:val="17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征地社保费共1474.20万元一次性预存入我区人力资源社</w:t>
      </w:r>
      <w:r>
        <w:rPr>
          <w:spacing w:val="8"/>
          <w:sz w:val="31"/>
          <w:szCs w:val="31"/>
        </w:rPr>
        <w:t>会保障</w:t>
      </w:r>
      <w:r>
        <w:rPr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部门开设的“收缴被征地农民社会保障资金过渡户”,征地社保费</w:t>
      </w:r>
      <w:r>
        <w:rPr>
          <w:spacing w:val="6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单列计提并计入征地成本，纳入工程项目概算。</w:t>
      </w:r>
    </w:p>
    <w:p w14:paraId="29F19483">
      <w:pPr>
        <w:pStyle w:val="2"/>
        <w:spacing w:before="201" w:line="305" w:lineRule="auto"/>
        <w:ind w:right="31" w:firstLine="690"/>
        <w:rPr>
          <w:sz w:val="31"/>
          <w:szCs w:val="31"/>
        </w:rPr>
      </w:pPr>
      <w:r>
        <w:rPr>
          <w:spacing w:val="-7"/>
          <w:sz w:val="31"/>
          <w:szCs w:val="31"/>
        </w:rPr>
        <w:t>四</w:t>
      </w:r>
      <w:r>
        <w:rPr>
          <w:spacing w:val="-68"/>
          <w:sz w:val="31"/>
          <w:szCs w:val="31"/>
        </w:rPr>
        <w:t xml:space="preserve"> </w:t>
      </w:r>
      <w:r>
        <w:rPr>
          <w:spacing w:val="-7"/>
          <w:sz w:val="31"/>
          <w:szCs w:val="31"/>
        </w:rPr>
        <w:t>、征地社保费分配。 一是按原征地社保政策落实分配，专</w:t>
      </w:r>
      <w:r>
        <w:rPr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款用于支付被征地农民养老保险个人缴费费</w:t>
      </w:r>
      <w:r>
        <w:rPr>
          <w:spacing w:val="3"/>
          <w:sz w:val="31"/>
          <w:szCs w:val="31"/>
        </w:rPr>
        <w:t>用。二是落实“征地</w:t>
      </w:r>
      <w:r>
        <w:rPr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社保费与征地安置补偿费同期拨付”和“在项目获批后3个月内</w:t>
      </w:r>
      <w:r>
        <w:rPr>
          <w:spacing w:val="11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完成资金分配工作，落实参保到人”的有关规定</w:t>
      </w:r>
      <w:r>
        <w:rPr>
          <w:spacing w:val="3"/>
          <w:sz w:val="31"/>
          <w:szCs w:val="31"/>
        </w:rPr>
        <w:t>。乡镇人民政府</w:t>
      </w:r>
    </w:p>
    <w:p w14:paraId="0C253853">
      <w:pPr>
        <w:spacing w:line="305" w:lineRule="auto"/>
        <w:rPr>
          <w:sz w:val="31"/>
          <w:szCs w:val="31"/>
        </w:rPr>
        <w:sectPr>
          <w:footerReference r:id="rId6" w:type="default"/>
          <w:pgSz w:w="11910" w:h="16850"/>
          <w:pgMar w:top="1432" w:right="1474" w:bottom="1686" w:left="1599" w:header="0" w:footer="1281" w:gutter="0"/>
          <w:cols w:space="720" w:num="1"/>
        </w:sectPr>
      </w:pPr>
    </w:p>
    <w:p w14:paraId="3BC20D96">
      <w:pPr>
        <w:spacing w:line="296" w:lineRule="auto"/>
        <w:rPr>
          <w:rFonts w:ascii="Arial"/>
          <w:sz w:val="21"/>
        </w:rPr>
      </w:pPr>
    </w:p>
    <w:p w14:paraId="06276919">
      <w:pPr>
        <w:spacing w:line="297" w:lineRule="auto"/>
        <w:rPr>
          <w:rFonts w:ascii="Arial"/>
          <w:sz w:val="21"/>
        </w:rPr>
      </w:pPr>
    </w:p>
    <w:p w14:paraId="0CB90E45">
      <w:pPr>
        <w:pStyle w:val="2"/>
        <w:spacing w:before="101" w:line="327" w:lineRule="auto"/>
        <w:ind w:firstLine="149"/>
        <w:jc w:val="both"/>
        <w:rPr>
          <w:sz w:val="31"/>
          <w:szCs w:val="31"/>
        </w:rPr>
      </w:pPr>
      <w:r>
        <w:rPr>
          <w:spacing w:val="10"/>
          <w:sz w:val="31"/>
          <w:szCs w:val="31"/>
        </w:rPr>
        <w:t>(街道办事处)按规定牵头做好被征地农民的失地面积及纳入被</w:t>
      </w:r>
      <w:r>
        <w:rPr>
          <w:spacing w:val="1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征地农民养老保障范围的</w:t>
      </w:r>
      <w:bookmarkStart w:id="0" w:name="_GoBack"/>
      <w:bookmarkEnd w:id="0"/>
      <w:r>
        <w:rPr>
          <w:spacing w:val="4"/>
          <w:sz w:val="31"/>
          <w:szCs w:val="31"/>
        </w:rPr>
        <w:t>具体人员名单审核、报送工作，及时报</w:t>
      </w:r>
      <w:r>
        <w:rPr>
          <w:spacing w:val="5"/>
          <w:sz w:val="31"/>
          <w:szCs w:val="31"/>
        </w:rPr>
        <w:t xml:space="preserve"> 送所属社会保险经办部门办理社保手续。</w:t>
      </w:r>
    </w:p>
    <w:p w14:paraId="518AF3E8">
      <w:pPr>
        <w:spacing w:line="248" w:lineRule="auto"/>
        <w:rPr>
          <w:rFonts w:ascii="Arial"/>
          <w:sz w:val="21"/>
        </w:rPr>
      </w:pPr>
    </w:p>
    <w:p w14:paraId="3D47D3F1">
      <w:pPr>
        <w:spacing w:line="248" w:lineRule="auto"/>
        <w:rPr>
          <w:rFonts w:ascii="Arial"/>
          <w:sz w:val="21"/>
        </w:rPr>
      </w:pPr>
    </w:p>
    <w:p w14:paraId="4D244650">
      <w:pPr>
        <w:pStyle w:val="2"/>
        <w:spacing w:before="100" w:line="221" w:lineRule="auto"/>
        <w:ind w:left="640"/>
        <w:rPr>
          <w:sz w:val="31"/>
          <w:szCs w:val="31"/>
        </w:rPr>
      </w:pPr>
      <w:r>
        <w:rPr>
          <w:spacing w:val="8"/>
          <w:sz w:val="31"/>
          <w:szCs w:val="31"/>
        </w:rPr>
        <w:t>附表：征收土地及养老保障情况表</w:t>
      </w:r>
    </w:p>
    <w:p w14:paraId="2C07A33F">
      <w:pPr>
        <w:spacing w:line="253" w:lineRule="auto"/>
        <w:rPr>
          <w:rFonts w:ascii="Arial"/>
          <w:sz w:val="21"/>
        </w:rPr>
      </w:pPr>
    </w:p>
    <w:p w14:paraId="465E5191">
      <w:pPr>
        <w:spacing w:line="253" w:lineRule="auto"/>
        <w:rPr>
          <w:rFonts w:ascii="Arial"/>
          <w:sz w:val="21"/>
        </w:rPr>
      </w:pPr>
    </w:p>
    <w:p w14:paraId="32CFB90C">
      <w:pPr>
        <w:spacing w:line="254" w:lineRule="auto"/>
        <w:rPr>
          <w:rFonts w:ascii="Arial"/>
          <w:sz w:val="21"/>
        </w:rPr>
      </w:pPr>
    </w:p>
    <w:p w14:paraId="074BC1DB">
      <w:pPr>
        <w:spacing w:line="254" w:lineRule="auto"/>
        <w:rPr>
          <w:rFonts w:ascii="Arial"/>
          <w:sz w:val="21"/>
        </w:rPr>
      </w:pPr>
    </w:p>
    <w:p w14:paraId="41CD53B4">
      <w:pPr>
        <w:spacing w:line="254" w:lineRule="auto"/>
        <w:rPr>
          <w:rFonts w:ascii="Arial"/>
          <w:sz w:val="21"/>
        </w:rPr>
      </w:pPr>
    </w:p>
    <w:p w14:paraId="43F4F96C">
      <w:pPr>
        <w:spacing w:line="254" w:lineRule="auto"/>
        <w:rPr>
          <w:rFonts w:ascii="Arial"/>
          <w:sz w:val="21"/>
        </w:rPr>
      </w:pPr>
    </w:p>
    <w:p w14:paraId="54C9F960">
      <w:pPr>
        <w:spacing w:line="254" w:lineRule="auto"/>
        <w:rPr>
          <w:rFonts w:ascii="Arial"/>
          <w:sz w:val="21"/>
        </w:rPr>
      </w:pPr>
    </w:p>
    <w:p w14:paraId="2F8C5781">
      <w:pPr>
        <w:pStyle w:val="2"/>
        <w:spacing w:before="101" w:line="220" w:lineRule="auto"/>
        <w:ind w:left="3300"/>
        <w:rPr>
          <w:sz w:val="31"/>
          <w:szCs w:val="31"/>
        </w:rPr>
      </w:pPr>
      <w:r>
        <w:rPr>
          <w:spacing w:val="8"/>
          <w:sz w:val="31"/>
          <w:szCs w:val="31"/>
        </w:rPr>
        <w:t>广州市花都区人力资源和社会保障局</w:t>
      </w:r>
    </w:p>
    <w:p w14:paraId="274EA216">
      <w:pPr>
        <w:pStyle w:val="2"/>
        <w:spacing w:before="174" w:line="222" w:lineRule="auto"/>
        <w:ind w:left="4569"/>
        <w:rPr>
          <w:sz w:val="31"/>
          <w:szCs w:val="31"/>
        </w:rPr>
      </w:pPr>
      <w:r>
        <w:rPr>
          <w:spacing w:val="43"/>
          <w:sz w:val="31"/>
          <w:szCs w:val="31"/>
        </w:rPr>
        <w:t>2025年10月16日</w:t>
      </w:r>
    </w:p>
    <w:p w14:paraId="26B38FFA">
      <w:pPr>
        <w:spacing w:line="222" w:lineRule="auto"/>
        <w:rPr>
          <w:sz w:val="31"/>
          <w:szCs w:val="31"/>
        </w:rPr>
        <w:sectPr>
          <w:footerReference r:id="rId7" w:type="default"/>
          <w:pgSz w:w="11910" w:h="16850"/>
          <w:pgMar w:top="1432" w:right="1457" w:bottom="1706" w:left="1650" w:header="0" w:footer="1304" w:gutter="0"/>
          <w:cols w:space="720" w:num="1"/>
        </w:sectPr>
      </w:pPr>
    </w:p>
    <w:p w14:paraId="4FC5862D">
      <w:pPr>
        <w:spacing w:line="347" w:lineRule="auto"/>
        <w:rPr>
          <w:rFonts w:ascii="Arial"/>
          <w:sz w:val="21"/>
        </w:rPr>
      </w:pPr>
    </w:p>
    <w:p w14:paraId="35BA90F3">
      <w:pPr>
        <w:spacing w:line="348" w:lineRule="auto"/>
        <w:rPr>
          <w:rFonts w:ascii="Arial"/>
          <w:sz w:val="21"/>
        </w:rPr>
      </w:pPr>
    </w:p>
    <w:p w14:paraId="15E5A342">
      <w:pPr>
        <w:spacing w:before="100" w:line="224" w:lineRule="auto"/>
        <w:ind w:left="3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附件</w:t>
      </w:r>
    </w:p>
    <w:p w14:paraId="59EF690D">
      <w:pPr>
        <w:spacing w:line="248" w:lineRule="auto"/>
        <w:rPr>
          <w:rFonts w:ascii="Arial"/>
          <w:sz w:val="21"/>
        </w:rPr>
      </w:pPr>
    </w:p>
    <w:p w14:paraId="4750D1E2">
      <w:pPr>
        <w:spacing w:before="143" w:line="219" w:lineRule="auto"/>
        <w:ind w:left="170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征收土地及养老保障情况表</w:t>
      </w:r>
    </w:p>
    <w:p w14:paraId="4AA75444">
      <w:pPr>
        <w:spacing w:before="236" w:line="220" w:lineRule="auto"/>
        <w:ind w:left="589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单位：亩、人、万元</w:t>
      </w:r>
    </w:p>
    <w:p w14:paraId="407B9B44">
      <w:pPr>
        <w:spacing w:line="28" w:lineRule="exact"/>
      </w:pPr>
    </w:p>
    <w:tbl>
      <w:tblPr>
        <w:tblStyle w:val="6"/>
        <w:tblW w:w="8750" w:type="dxa"/>
        <w:tblInd w:w="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4"/>
        <w:gridCol w:w="1618"/>
        <w:gridCol w:w="1079"/>
        <w:gridCol w:w="1049"/>
        <w:gridCol w:w="1059"/>
        <w:gridCol w:w="629"/>
        <w:gridCol w:w="909"/>
        <w:gridCol w:w="839"/>
        <w:gridCol w:w="1044"/>
      </w:tblGrid>
      <w:tr w14:paraId="429331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42" w:type="dxa"/>
            <w:gridSpan w:val="2"/>
            <w:vMerge w:val="restart"/>
            <w:tcBorders>
              <w:bottom w:val="nil"/>
            </w:tcBorders>
            <w:vAlign w:val="top"/>
          </w:tcPr>
          <w:p w14:paraId="57493835">
            <w:pPr>
              <w:spacing w:line="266" w:lineRule="auto"/>
              <w:rPr>
                <w:rFonts w:ascii="Arial"/>
                <w:sz w:val="21"/>
              </w:rPr>
            </w:pPr>
          </w:p>
          <w:p w14:paraId="6CA4A77B">
            <w:pPr>
              <w:spacing w:line="267" w:lineRule="auto"/>
              <w:rPr>
                <w:rFonts w:ascii="Arial"/>
                <w:sz w:val="21"/>
              </w:rPr>
            </w:pPr>
          </w:p>
          <w:p w14:paraId="6A33D6F5">
            <w:pPr>
              <w:pStyle w:val="7"/>
              <w:spacing w:before="78" w:line="219" w:lineRule="auto"/>
              <w:ind w:left="464"/>
            </w:pPr>
            <w:r>
              <w:rPr>
                <w:spacing w:val="-2"/>
              </w:rPr>
              <w:t>被征地单位</w:t>
            </w:r>
          </w:p>
        </w:tc>
        <w:tc>
          <w:tcPr>
            <w:tcW w:w="3816" w:type="dxa"/>
            <w:gridSpan w:val="4"/>
            <w:vAlign w:val="top"/>
          </w:tcPr>
          <w:p w14:paraId="20944DE8">
            <w:pPr>
              <w:pStyle w:val="7"/>
              <w:spacing w:before="104" w:line="219" w:lineRule="auto"/>
              <w:ind w:left="1153"/>
            </w:pPr>
            <w:r>
              <w:rPr>
                <w:spacing w:val="2"/>
              </w:rPr>
              <w:t>征收土地面积</w:t>
            </w:r>
          </w:p>
        </w:tc>
        <w:tc>
          <w:tcPr>
            <w:tcW w:w="909" w:type="dxa"/>
            <w:vMerge w:val="restart"/>
            <w:tcBorders>
              <w:bottom w:val="nil"/>
            </w:tcBorders>
            <w:vAlign w:val="top"/>
          </w:tcPr>
          <w:p w14:paraId="0C40DF9D">
            <w:pPr>
              <w:pStyle w:val="7"/>
              <w:spacing w:before="165" w:line="219" w:lineRule="auto"/>
              <w:ind w:left="87"/>
            </w:pPr>
            <w:r>
              <w:rPr>
                <w:spacing w:val="3"/>
              </w:rPr>
              <w:t>属于被</w:t>
            </w:r>
          </w:p>
          <w:p w14:paraId="52EC7DBD">
            <w:pPr>
              <w:pStyle w:val="7"/>
              <w:spacing w:before="24" w:line="216" w:lineRule="auto"/>
              <w:ind w:left="87"/>
            </w:pPr>
            <w:r>
              <w:rPr>
                <w:spacing w:val="3"/>
              </w:rPr>
              <w:t>征地单</w:t>
            </w:r>
          </w:p>
          <w:p w14:paraId="04F7CBBC">
            <w:pPr>
              <w:pStyle w:val="7"/>
              <w:spacing w:line="220" w:lineRule="auto"/>
              <w:ind w:left="87"/>
            </w:pPr>
            <w:r>
              <w:rPr>
                <w:spacing w:val="9"/>
              </w:rPr>
              <w:t>位留用</w:t>
            </w:r>
          </w:p>
          <w:p w14:paraId="50F2045C">
            <w:pPr>
              <w:pStyle w:val="7"/>
              <w:spacing w:before="13" w:line="220" w:lineRule="auto"/>
              <w:ind w:left="87"/>
            </w:pPr>
            <w:r>
              <w:rPr>
                <w:spacing w:val="5"/>
              </w:rPr>
              <w:t>地面积</w:t>
            </w:r>
          </w:p>
        </w:tc>
        <w:tc>
          <w:tcPr>
            <w:tcW w:w="839" w:type="dxa"/>
            <w:vMerge w:val="restart"/>
            <w:tcBorders>
              <w:bottom w:val="nil"/>
            </w:tcBorders>
            <w:vAlign w:val="top"/>
          </w:tcPr>
          <w:p w14:paraId="12C23CBE">
            <w:pPr>
              <w:spacing w:line="384" w:lineRule="auto"/>
              <w:rPr>
                <w:rFonts w:ascii="Arial"/>
                <w:sz w:val="21"/>
              </w:rPr>
            </w:pPr>
          </w:p>
          <w:p w14:paraId="1452BA47">
            <w:pPr>
              <w:pStyle w:val="7"/>
              <w:spacing w:before="78" w:line="225" w:lineRule="auto"/>
              <w:ind w:left="177" w:right="40" w:hanging="120"/>
            </w:pPr>
            <w:r>
              <w:rPr>
                <w:spacing w:val="3"/>
              </w:rPr>
              <w:t>需保障</w:t>
            </w:r>
            <w:r>
              <w:t xml:space="preserve"> </w:t>
            </w:r>
            <w:r>
              <w:rPr>
                <w:spacing w:val="5"/>
              </w:rPr>
              <w:t>人数</w:t>
            </w:r>
          </w:p>
        </w:tc>
        <w:tc>
          <w:tcPr>
            <w:tcW w:w="1044" w:type="dxa"/>
            <w:vMerge w:val="restart"/>
            <w:tcBorders>
              <w:bottom w:val="nil"/>
            </w:tcBorders>
            <w:vAlign w:val="top"/>
          </w:tcPr>
          <w:p w14:paraId="2033E9B4">
            <w:pPr>
              <w:spacing w:line="384" w:lineRule="auto"/>
              <w:rPr>
                <w:rFonts w:ascii="Arial"/>
                <w:sz w:val="21"/>
              </w:rPr>
            </w:pPr>
          </w:p>
          <w:p w14:paraId="2909AFAD">
            <w:pPr>
              <w:pStyle w:val="7"/>
              <w:spacing w:before="78" w:line="219" w:lineRule="auto"/>
              <w:ind w:left="38"/>
            </w:pPr>
            <w:r>
              <w:rPr>
                <w:spacing w:val="2"/>
              </w:rPr>
              <w:t>需计提征</w:t>
            </w:r>
          </w:p>
          <w:p w14:paraId="1BF87465">
            <w:pPr>
              <w:pStyle w:val="7"/>
              <w:spacing w:before="5" w:line="219" w:lineRule="auto"/>
              <w:ind w:left="38"/>
            </w:pPr>
            <w:r>
              <w:rPr>
                <w:spacing w:val="3"/>
              </w:rPr>
              <w:t>地社保费</w:t>
            </w:r>
          </w:p>
        </w:tc>
      </w:tr>
      <w:tr w14:paraId="4C87A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2142" w:type="dxa"/>
            <w:gridSpan w:val="2"/>
            <w:vMerge w:val="continue"/>
            <w:tcBorders>
              <w:top w:val="nil"/>
            </w:tcBorders>
            <w:vAlign w:val="top"/>
          </w:tcPr>
          <w:p w14:paraId="163AC57C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6A3F35FD">
            <w:pPr>
              <w:spacing w:line="312" w:lineRule="auto"/>
              <w:rPr>
                <w:rFonts w:ascii="Arial"/>
                <w:sz w:val="21"/>
              </w:rPr>
            </w:pPr>
          </w:p>
          <w:p w14:paraId="091E975E">
            <w:pPr>
              <w:pStyle w:val="7"/>
              <w:spacing w:before="78" w:line="221" w:lineRule="auto"/>
              <w:ind w:left="293"/>
            </w:pPr>
            <w:r>
              <w:rPr>
                <w:spacing w:val="5"/>
              </w:rPr>
              <w:t>合计</w:t>
            </w:r>
          </w:p>
        </w:tc>
        <w:tc>
          <w:tcPr>
            <w:tcW w:w="1049" w:type="dxa"/>
            <w:vAlign w:val="top"/>
          </w:tcPr>
          <w:p w14:paraId="43D1A7D3">
            <w:pPr>
              <w:spacing w:line="312" w:lineRule="auto"/>
              <w:rPr>
                <w:rFonts w:ascii="Arial"/>
                <w:sz w:val="21"/>
              </w:rPr>
            </w:pPr>
          </w:p>
          <w:p w14:paraId="3764B96C">
            <w:pPr>
              <w:pStyle w:val="7"/>
              <w:spacing w:before="78" w:line="221" w:lineRule="auto"/>
              <w:ind w:left="153"/>
            </w:pPr>
            <w:r>
              <w:rPr>
                <w:spacing w:val="-3"/>
              </w:rPr>
              <w:t>农用地</w:t>
            </w:r>
          </w:p>
        </w:tc>
        <w:tc>
          <w:tcPr>
            <w:tcW w:w="1059" w:type="dxa"/>
            <w:vAlign w:val="top"/>
          </w:tcPr>
          <w:p w14:paraId="01BDF4DA">
            <w:pPr>
              <w:spacing w:line="312" w:lineRule="auto"/>
              <w:rPr>
                <w:rFonts w:ascii="Arial"/>
                <w:sz w:val="21"/>
              </w:rPr>
            </w:pPr>
          </w:p>
          <w:p w14:paraId="3313AA93">
            <w:pPr>
              <w:pStyle w:val="7"/>
              <w:spacing w:before="78" w:line="221" w:lineRule="auto"/>
              <w:ind w:left="44"/>
            </w:pPr>
            <w:r>
              <w:rPr>
                <w:spacing w:val="2"/>
              </w:rPr>
              <w:t>建设用地</w:t>
            </w:r>
          </w:p>
        </w:tc>
        <w:tc>
          <w:tcPr>
            <w:tcW w:w="629" w:type="dxa"/>
            <w:vAlign w:val="top"/>
          </w:tcPr>
          <w:p w14:paraId="0ECBADE1">
            <w:pPr>
              <w:pStyle w:val="7"/>
              <w:spacing w:before="241" w:line="216" w:lineRule="auto"/>
              <w:ind w:left="65"/>
            </w:pPr>
            <w:r>
              <w:rPr>
                <w:spacing w:val="8"/>
              </w:rPr>
              <w:t>未利</w:t>
            </w:r>
          </w:p>
          <w:p w14:paraId="0D94FA12">
            <w:pPr>
              <w:pStyle w:val="7"/>
              <w:spacing w:before="1" w:line="220" w:lineRule="auto"/>
              <w:ind w:left="65"/>
            </w:pPr>
            <w:r>
              <w:rPr>
                <w:spacing w:val="4"/>
              </w:rPr>
              <w:t>用地</w:t>
            </w:r>
          </w:p>
        </w:tc>
        <w:tc>
          <w:tcPr>
            <w:tcW w:w="909" w:type="dxa"/>
            <w:vMerge w:val="continue"/>
            <w:tcBorders>
              <w:top w:val="nil"/>
            </w:tcBorders>
            <w:vAlign w:val="top"/>
          </w:tcPr>
          <w:p w14:paraId="44DA7140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</w:tcBorders>
            <w:vAlign w:val="top"/>
          </w:tcPr>
          <w:p w14:paraId="6AA2A856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Merge w:val="continue"/>
            <w:tcBorders>
              <w:top w:val="nil"/>
            </w:tcBorders>
            <w:vAlign w:val="top"/>
          </w:tcPr>
          <w:p w14:paraId="2B6DB163">
            <w:pPr>
              <w:rPr>
                <w:rFonts w:ascii="Arial"/>
                <w:sz w:val="21"/>
              </w:rPr>
            </w:pPr>
          </w:p>
        </w:tc>
      </w:tr>
      <w:tr w14:paraId="32397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524" w:type="dxa"/>
            <w:vMerge w:val="restart"/>
            <w:tcBorders>
              <w:bottom w:val="nil"/>
            </w:tcBorders>
            <w:textDirection w:val="tbRlV"/>
            <w:vAlign w:val="top"/>
          </w:tcPr>
          <w:p w14:paraId="75EBFFEB">
            <w:pPr>
              <w:pStyle w:val="7"/>
              <w:spacing w:before="158" w:line="201" w:lineRule="auto"/>
              <w:ind w:left="688"/>
            </w:pPr>
            <w:r>
              <w:t>新</w:t>
            </w:r>
            <w:r>
              <w:rPr>
                <w:spacing w:val="-31"/>
              </w:rPr>
              <w:t xml:space="preserve"> </w:t>
            </w:r>
            <w:r>
              <w:t>华</w:t>
            </w:r>
            <w:r>
              <w:rPr>
                <w:spacing w:val="-31"/>
              </w:rPr>
              <w:t xml:space="preserve"> </w:t>
            </w:r>
            <w:r>
              <w:t>街</w:t>
            </w:r>
          </w:p>
        </w:tc>
        <w:tc>
          <w:tcPr>
            <w:tcW w:w="1618" w:type="dxa"/>
            <w:vAlign w:val="top"/>
          </w:tcPr>
          <w:p w14:paraId="797CC3CA">
            <w:pPr>
              <w:pStyle w:val="7"/>
              <w:spacing w:before="111" w:line="219" w:lineRule="auto"/>
              <w:ind w:left="200"/>
            </w:pPr>
            <w:r>
              <w:rPr>
                <w:spacing w:val="2"/>
              </w:rPr>
              <w:t>新街村经济</w:t>
            </w:r>
          </w:p>
          <w:p w14:paraId="74F97E1A">
            <w:pPr>
              <w:pStyle w:val="7"/>
              <w:spacing w:before="26" w:line="219" w:lineRule="auto"/>
              <w:ind w:left="440"/>
            </w:pPr>
            <w:r>
              <w:rPr>
                <w:spacing w:val="3"/>
              </w:rPr>
              <w:t>联合社</w:t>
            </w:r>
          </w:p>
        </w:tc>
        <w:tc>
          <w:tcPr>
            <w:tcW w:w="1079" w:type="dxa"/>
            <w:vAlign w:val="top"/>
          </w:tcPr>
          <w:p w14:paraId="7084CD84">
            <w:pPr>
              <w:pStyle w:val="7"/>
              <w:spacing w:before="286" w:line="239" w:lineRule="auto"/>
              <w:ind w:left="113"/>
            </w:pPr>
            <w:r>
              <w:rPr>
                <w:spacing w:val="-2"/>
              </w:rPr>
              <w:t>32.5275</w:t>
            </w:r>
          </w:p>
        </w:tc>
        <w:tc>
          <w:tcPr>
            <w:tcW w:w="1049" w:type="dxa"/>
            <w:vAlign w:val="top"/>
          </w:tcPr>
          <w:p w14:paraId="29E8B674">
            <w:pPr>
              <w:pStyle w:val="7"/>
              <w:spacing w:before="286" w:line="239" w:lineRule="auto"/>
              <w:ind w:left="153"/>
            </w:pPr>
            <w:r>
              <w:rPr>
                <w:spacing w:val="-4"/>
              </w:rPr>
              <w:t>1.3185</w:t>
            </w:r>
          </w:p>
        </w:tc>
        <w:tc>
          <w:tcPr>
            <w:tcW w:w="1059" w:type="dxa"/>
            <w:vAlign w:val="top"/>
          </w:tcPr>
          <w:p w14:paraId="2E7D8664">
            <w:pPr>
              <w:pStyle w:val="7"/>
              <w:spacing w:before="286" w:line="239" w:lineRule="auto"/>
              <w:ind w:left="165"/>
            </w:pPr>
            <w:r>
              <w:rPr>
                <w:spacing w:val="-2"/>
              </w:rPr>
              <w:t>31.209</w:t>
            </w:r>
          </w:p>
        </w:tc>
        <w:tc>
          <w:tcPr>
            <w:tcW w:w="629" w:type="dxa"/>
            <w:vAlign w:val="top"/>
          </w:tcPr>
          <w:p w14:paraId="53C09B83">
            <w:pPr>
              <w:pStyle w:val="7"/>
              <w:spacing w:before="286"/>
              <w:ind w:left="245"/>
            </w:pPr>
            <w:r>
              <w:t>0</w:t>
            </w:r>
          </w:p>
        </w:tc>
        <w:tc>
          <w:tcPr>
            <w:tcW w:w="909" w:type="dxa"/>
            <w:vAlign w:val="top"/>
          </w:tcPr>
          <w:p w14:paraId="44F4FB3B">
            <w:pPr>
              <w:pStyle w:val="7"/>
              <w:spacing w:before="286"/>
              <w:ind w:left="387"/>
            </w:pPr>
            <w:r>
              <w:t>0</w:t>
            </w:r>
          </w:p>
        </w:tc>
        <w:tc>
          <w:tcPr>
            <w:tcW w:w="839" w:type="dxa"/>
            <w:vAlign w:val="top"/>
          </w:tcPr>
          <w:p w14:paraId="5794FBE3">
            <w:pPr>
              <w:pStyle w:val="7"/>
              <w:spacing w:before="286"/>
              <w:ind w:left="238"/>
            </w:pPr>
            <w:r>
              <w:rPr>
                <w:spacing w:val="-2"/>
              </w:rPr>
              <w:t>423</w:t>
            </w:r>
          </w:p>
        </w:tc>
        <w:tc>
          <w:tcPr>
            <w:tcW w:w="1044" w:type="dxa"/>
            <w:vAlign w:val="top"/>
          </w:tcPr>
          <w:p w14:paraId="33B2BA7D">
            <w:pPr>
              <w:pStyle w:val="7"/>
              <w:spacing w:before="286" w:line="239" w:lineRule="auto"/>
              <w:ind w:left="159"/>
            </w:pPr>
            <w:r>
              <w:rPr>
                <w:spacing w:val="-2"/>
              </w:rPr>
              <w:t>685.26</w:t>
            </w:r>
          </w:p>
        </w:tc>
      </w:tr>
      <w:tr w14:paraId="1324E6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5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1AB5FE3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3BB6C1DD">
            <w:pPr>
              <w:pStyle w:val="7"/>
              <w:spacing w:before="105" w:line="233" w:lineRule="auto"/>
              <w:ind w:left="200" w:right="187"/>
            </w:pPr>
            <w:r>
              <w:rPr>
                <w:spacing w:val="3"/>
              </w:rPr>
              <w:t xml:space="preserve">新街村四和 </w:t>
            </w:r>
            <w:r>
              <w:rPr>
                <w:spacing w:val="2"/>
              </w:rPr>
              <w:t>经济合作社</w:t>
            </w:r>
          </w:p>
        </w:tc>
        <w:tc>
          <w:tcPr>
            <w:tcW w:w="1079" w:type="dxa"/>
            <w:vAlign w:val="top"/>
          </w:tcPr>
          <w:p w14:paraId="1D703865">
            <w:pPr>
              <w:pStyle w:val="7"/>
              <w:spacing w:before="288" w:line="239" w:lineRule="auto"/>
              <w:ind w:left="113"/>
            </w:pPr>
            <w:r>
              <w:rPr>
                <w:spacing w:val="-2"/>
              </w:rPr>
              <w:t>33.3435</w:t>
            </w:r>
          </w:p>
        </w:tc>
        <w:tc>
          <w:tcPr>
            <w:tcW w:w="1049" w:type="dxa"/>
            <w:vAlign w:val="top"/>
          </w:tcPr>
          <w:p w14:paraId="59F6329A">
            <w:pPr>
              <w:pStyle w:val="7"/>
              <w:spacing w:before="288" w:line="239" w:lineRule="auto"/>
              <w:ind w:left="153"/>
            </w:pPr>
            <w:r>
              <w:rPr>
                <w:spacing w:val="-2"/>
              </w:rPr>
              <w:t>0.0375</w:t>
            </w:r>
          </w:p>
        </w:tc>
        <w:tc>
          <w:tcPr>
            <w:tcW w:w="1059" w:type="dxa"/>
            <w:vAlign w:val="top"/>
          </w:tcPr>
          <w:p w14:paraId="0E29FB24">
            <w:pPr>
              <w:pStyle w:val="7"/>
              <w:spacing w:before="288" w:line="239" w:lineRule="auto"/>
              <w:ind w:left="165"/>
            </w:pPr>
            <w:r>
              <w:rPr>
                <w:spacing w:val="-2"/>
              </w:rPr>
              <w:t>33.306</w:t>
            </w:r>
          </w:p>
        </w:tc>
        <w:tc>
          <w:tcPr>
            <w:tcW w:w="629" w:type="dxa"/>
            <w:vAlign w:val="top"/>
          </w:tcPr>
          <w:p w14:paraId="5FBF49AC">
            <w:pPr>
              <w:pStyle w:val="7"/>
              <w:spacing w:before="288"/>
              <w:ind w:left="245"/>
            </w:pPr>
            <w:r>
              <w:t>0</w:t>
            </w:r>
          </w:p>
        </w:tc>
        <w:tc>
          <w:tcPr>
            <w:tcW w:w="909" w:type="dxa"/>
            <w:vAlign w:val="top"/>
          </w:tcPr>
          <w:p w14:paraId="30F94930">
            <w:pPr>
              <w:pStyle w:val="7"/>
              <w:spacing w:before="288"/>
              <w:ind w:left="387"/>
            </w:pPr>
            <w:r>
              <w:t>0</w:t>
            </w:r>
          </w:p>
        </w:tc>
        <w:tc>
          <w:tcPr>
            <w:tcW w:w="839" w:type="dxa"/>
            <w:vAlign w:val="top"/>
          </w:tcPr>
          <w:p w14:paraId="5B09AAA6">
            <w:pPr>
              <w:pStyle w:val="7"/>
              <w:spacing w:before="288"/>
              <w:ind w:left="238"/>
            </w:pPr>
            <w:r>
              <w:rPr>
                <w:spacing w:val="-2"/>
              </w:rPr>
              <w:t>434</w:t>
            </w:r>
          </w:p>
        </w:tc>
        <w:tc>
          <w:tcPr>
            <w:tcW w:w="1044" w:type="dxa"/>
            <w:vAlign w:val="top"/>
          </w:tcPr>
          <w:p w14:paraId="01C95DE4">
            <w:pPr>
              <w:pStyle w:val="7"/>
              <w:spacing w:before="288" w:line="239" w:lineRule="auto"/>
              <w:ind w:left="159"/>
            </w:pPr>
            <w:r>
              <w:rPr>
                <w:spacing w:val="-3"/>
              </w:rPr>
              <w:t>703.08</w:t>
            </w:r>
          </w:p>
        </w:tc>
      </w:tr>
      <w:tr w14:paraId="1A0498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524" w:type="dxa"/>
            <w:vMerge w:val="continue"/>
            <w:tcBorders>
              <w:top w:val="nil"/>
            </w:tcBorders>
            <w:textDirection w:val="tbRlV"/>
            <w:vAlign w:val="top"/>
          </w:tcPr>
          <w:p w14:paraId="2CEB098D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504838A0">
            <w:pPr>
              <w:pStyle w:val="7"/>
              <w:spacing w:before="105" w:line="249" w:lineRule="auto"/>
              <w:ind w:left="200" w:right="195"/>
            </w:pPr>
            <w:r>
              <w:rPr>
                <w:spacing w:val="2"/>
              </w:rPr>
              <w:t>新街村钟村</w:t>
            </w:r>
            <w:r>
              <w:t xml:space="preserve"> </w:t>
            </w:r>
            <w:r>
              <w:rPr>
                <w:spacing w:val="2"/>
              </w:rPr>
              <w:t>经济合作社</w:t>
            </w:r>
          </w:p>
        </w:tc>
        <w:tc>
          <w:tcPr>
            <w:tcW w:w="1079" w:type="dxa"/>
            <w:vAlign w:val="top"/>
          </w:tcPr>
          <w:p w14:paraId="4AA0B31C">
            <w:pPr>
              <w:pStyle w:val="7"/>
              <w:spacing w:before="300" w:line="239" w:lineRule="auto"/>
              <w:ind w:left="172"/>
            </w:pPr>
            <w:r>
              <w:rPr>
                <w:spacing w:val="-2"/>
              </w:rPr>
              <w:t>3.9615</w:t>
            </w:r>
          </w:p>
        </w:tc>
        <w:tc>
          <w:tcPr>
            <w:tcW w:w="1049" w:type="dxa"/>
            <w:vAlign w:val="top"/>
          </w:tcPr>
          <w:p w14:paraId="5E6A7464">
            <w:pPr>
              <w:pStyle w:val="7"/>
              <w:spacing w:before="300" w:line="239" w:lineRule="auto"/>
              <w:ind w:left="153"/>
            </w:pPr>
            <w:r>
              <w:rPr>
                <w:spacing w:val="-2"/>
              </w:rPr>
              <w:t>0.0015</w:t>
            </w:r>
          </w:p>
        </w:tc>
        <w:tc>
          <w:tcPr>
            <w:tcW w:w="1059" w:type="dxa"/>
            <w:vAlign w:val="top"/>
          </w:tcPr>
          <w:p w14:paraId="786CF678">
            <w:pPr>
              <w:pStyle w:val="7"/>
              <w:spacing w:before="300" w:line="239" w:lineRule="auto"/>
              <w:ind w:left="284"/>
            </w:pPr>
            <w:r>
              <w:rPr>
                <w:spacing w:val="-3"/>
              </w:rPr>
              <w:t>3.96</w:t>
            </w:r>
          </w:p>
        </w:tc>
        <w:tc>
          <w:tcPr>
            <w:tcW w:w="629" w:type="dxa"/>
            <w:vAlign w:val="top"/>
          </w:tcPr>
          <w:p w14:paraId="0968638D">
            <w:pPr>
              <w:pStyle w:val="7"/>
              <w:spacing w:before="300"/>
              <w:ind w:left="245"/>
            </w:pPr>
            <w:r>
              <w:t>0</w:t>
            </w:r>
          </w:p>
        </w:tc>
        <w:tc>
          <w:tcPr>
            <w:tcW w:w="909" w:type="dxa"/>
            <w:vAlign w:val="top"/>
          </w:tcPr>
          <w:p w14:paraId="35286AC5">
            <w:pPr>
              <w:pStyle w:val="7"/>
              <w:spacing w:before="300"/>
              <w:ind w:left="387"/>
            </w:pPr>
            <w:r>
              <w:t>0</w:t>
            </w:r>
          </w:p>
        </w:tc>
        <w:tc>
          <w:tcPr>
            <w:tcW w:w="839" w:type="dxa"/>
            <w:vAlign w:val="top"/>
          </w:tcPr>
          <w:p w14:paraId="1342BACE">
            <w:pPr>
              <w:pStyle w:val="7"/>
              <w:spacing w:before="300"/>
              <w:ind w:left="297"/>
            </w:pPr>
            <w:r>
              <w:rPr>
                <w:spacing w:val="-4"/>
              </w:rPr>
              <w:t>53</w:t>
            </w:r>
          </w:p>
        </w:tc>
        <w:tc>
          <w:tcPr>
            <w:tcW w:w="1044" w:type="dxa"/>
            <w:vAlign w:val="top"/>
          </w:tcPr>
          <w:p w14:paraId="13BE2745">
            <w:pPr>
              <w:pStyle w:val="7"/>
              <w:spacing w:before="300" w:line="239" w:lineRule="auto"/>
              <w:ind w:left="219"/>
            </w:pPr>
            <w:r>
              <w:rPr>
                <w:spacing w:val="-2"/>
              </w:rPr>
              <w:t>85.86</w:t>
            </w:r>
          </w:p>
        </w:tc>
      </w:tr>
      <w:tr w14:paraId="04B33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2142" w:type="dxa"/>
            <w:gridSpan w:val="2"/>
            <w:vAlign w:val="top"/>
          </w:tcPr>
          <w:p w14:paraId="13F909DD">
            <w:pPr>
              <w:pStyle w:val="7"/>
              <w:spacing w:before="270" w:line="221" w:lineRule="auto"/>
              <w:ind w:left="645"/>
            </w:pPr>
            <w:r>
              <w:rPr>
                <w:spacing w:val="-6"/>
              </w:rPr>
              <w:t>合</w:t>
            </w:r>
            <w:r>
              <w:rPr>
                <w:spacing w:val="10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1079" w:type="dxa"/>
            <w:vAlign w:val="top"/>
          </w:tcPr>
          <w:p w14:paraId="2FABAEAF">
            <w:pPr>
              <w:pStyle w:val="7"/>
              <w:spacing w:before="292" w:line="239" w:lineRule="auto"/>
              <w:ind w:left="113"/>
            </w:pPr>
            <w:r>
              <w:rPr>
                <w:spacing w:val="-2"/>
              </w:rPr>
              <w:t>69.8325</w:t>
            </w:r>
          </w:p>
        </w:tc>
        <w:tc>
          <w:tcPr>
            <w:tcW w:w="1049" w:type="dxa"/>
            <w:vAlign w:val="top"/>
          </w:tcPr>
          <w:p w14:paraId="7E76F9B3">
            <w:pPr>
              <w:pStyle w:val="7"/>
              <w:spacing w:before="292" w:line="239" w:lineRule="auto"/>
              <w:ind w:left="153"/>
            </w:pPr>
            <w:r>
              <w:rPr>
                <w:spacing w:val="-4"/>
              </w:rPr>
              <w:t>1.3575</w:t>
            </w:r>
          </w:p>
        </w:tc>
        <w:tc>
          <w:tcPr>
            <w:tcW w:w="1059" w:type="dxa"/>
            <w:vAlign w:val="top"/>
          </w:tcPr>
          <w:p w14:paraId="45DA06DE">
            <w:pPr>
              <w:pStyle w:val="7"/>
              <w:spacing w:before="292" w:line="239" w:lineRule="auto"/>
              <w:ind w:left="165"/>
            </w:pPr>
            <w:r>
              <w:rPr>
                <w:spacing w:val="-2"/>
              </w:rPr>
              <w:t>68.475</w:t>
            </w:r>
          </w:p>
        </w:tc>
        <w:tc>
          <w:tcPr>
            <w:tcW w:w="629" w:type="dxa"/>
            <w:vAlign w:val="top"/>
          </w:tcPr>
          <w:p w14:paraId="519CCD01">
            <w:pPr>
              <w:pStyle w:val="7"/>
              <w:spacing w:before="292"/>
              <w:ind w:left="245"/>
            </w:pPr>
            <w:r>
              <w:t>0</w:t>
            </w:r>
          </w:p>
        </w:tc>
        <w:tc>
          <w:tcPr>
            <w:tcW w:w="909" w:type="dxa"/>
            <w:vAlign w:val="top"/>
          </w:tcPr>
          <w:p w14:paraId="188073FE">
            <w:pPr>
              <w:pStyle w:val="7"/>
              <w:spacing w:before="292"/>
              <w:ind w:left="387"/>
            </w:pPr>
            <w:r>
              <w:t>0</w:t>
            </w:r>
          </w:p>
        </w:tc>
        <w:tc>
          <w:tcPr>
            <w:tcW w:w="839" w:type="dxa"/>
            <w:vAlign w:val="top"/>
          </w:tcPr>
          <w:p w14:paraId="311A2BB2">
            <w:pPr>
              <w:pStyle w:val="7"/>
              <w:spacing w:before="292"/>
              <w:ind w:left="238"/>
            </w:pPr>
            <w:r>
              <w:rPr>
                <w:spacing w:val="-3"/>
              </w:rPr>
              <w:t>910</w:t>
            </w:r>
          </w:p>
        </w:tc>
        <w:tc>
          <w:tcPr>
            <w:tcW w:w="1044" w:type="dxa"/>
            <w:vAlign w:val="top"/>
          </w:tcPr>
          <w:p w14:paraId="552D196D">
            <w:pPr>
              <w:pStyle w:val="7"/>
              <w:spacing w:before="153" w:line="238" w:lineRule="auto"/>
              <w:ind w:left="159"/>
            </w:pPr>
            <w:r>
              <w:rPr>
                <w:spacing w:val="-4"/>
              </w:rPr>
              <w:t>1474.2</w:t>
            </w:r>
          </w:p>
          <w:p w14:paraId="435E3335">
            <w:pPr>
              <w:pStyle w:val="7"/>
              <w:spacing w:line="215" w:lineRule="auto"/>
              <w:ind w:left="459"/>
            </w:pPr>
            <w:r>
              <w:t>0</w:t>
            </w:r>
          </w:p>
        </w:tc>
      </w:tr>
    </w:tbl>
    <w:p w14:paraId="152BFD3F">
      <w:pPr>
        <w:spacing w:before="55" w:line="219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备注：被征收土地属于被征地单位留用地的，按规定不计提征地社保费。</w:t>
      </w:r>
    </w:p>
    <w:sectPr>
      <w:footerReference r:id="rId8" w:type="default"/>
      <w:pgSz w:w="11910" w:h="16850"/>
      <w:pgMar w:top="1432" w:right="1524" w:bottom="1706" w:left="1609" w:header="0" w:footer="130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8495D6">
    <w:pPr>
      <w:spacing w:line="49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6EFC3">
    <w:pPr>
      <w:spacing w:line="235" w:lineRule="auto"/>
      <w:ind w:left="31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9"/>
        <w:sz w:val="31"/>
        <w:szCs w:val="31"/>
      </w:rPr>
      <w:t>—</w:t>
    </w:r>
    <w:r>
      <w:rPr>
        <w:rFonts w:ascii="宋体" w:hAnsi="宋体" w:eastAsia="宋体" w:cs="宋体"/>
        <w:spacing w:val="65"/>
        <w:sz w:val="31"/>
        <w:szCs w:val="31"/>
      </w:rPr>
      <w:t xml:space="preserve"> </w:t>
    </w:r>
    <w:r>
      <w:rPr>
        <w:rFonts w:ascii="宋体" w:hAnsi="宋体" w:eastAsia="宋体" w:cs="宋体"/>
        <w:spacing w:val="-9"/>
        <w:sz w:val="31"/>
        <w:szCs w:val="31"/>
      </w:rPr>
      <w:t>2</w:t>
    </w:r>
    <w:r>
      <w:rPr>
        <w:rFonts w:ascii="宋体" w:hAnsi="宋体" w:eastAsia="宋体" w:cs="宋体"/>
        <w:spacing w:val="76"/>
        <w:sz w:val="31"/>
        <w:szCs w:val="31"/>
      </w:rPr>
      <w:t xml:space="preserve"> </w:t>
    </w:r>
    <w:r>
      <w:rPr>
        <w:rFonts w:ascii="宋体" w:hAnsi="宋体" w:eastAsia="宋体" w:cs="宋体"/>
        <w:spacing w:val="-9"/>
        <w:sz w:val="31"/>
        <w:szCs w:val="31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148DEC">
    <w:pPr>
      <w:spacing w:line="233" w:lineRule="auto"/>
      <w:ind w:left="7219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—3</w:t>
    </w:r>
    <w:r>
      <w:rPr>
        <w:rFonts w:ascii="宋体" w:hAnsi="宋体" w:eastAsia="宋体" w:cs="宋体"/>
        <w:spacing w:val="68"/>
        <w:sz w:val="31"/>
        <w:szCs w:val="31"/>
      </w:rPr>
      <w:t xml:space="preserve">  </w:t>
    </w:r>
    <w:r>
      <w:rPr>
        <w:rFonts w:ascii="宋体" w:hAnsi="宋体" w:eastAsia="宋体" w:cs="宋体"/>
        <w:spacing w:val="-4"/>
        <w:sz w:val="31"/>
        <w:szCs w:val="31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C1CC9">
    <w:pPr>
      <w:spacing w:line="235" w:lineRule="auto"/>
      <w:ind w:left="30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7"/>
        <w:sz w:val="31"/>
        <w:szCs w:val="31"/>
      </w:rPr>
      <w:t>—</w:t>
    </w:r>
    <w:r>
      <w:rPr>
        <w:rFonts w:ascii="宋体" w:hAnsi="宋体" w:eastAsia="宋体" w:cs="宋体"/>
        <w:spacing w:val="54"/>
        <w:sz w:val="31"/>
        <w:szCs w:val="31"/>
      </w:rPr>
      <w:t xml:space="preserve"> </w:t>
    </w:r>
    <w:r>
      <w:rPr>
        <w:rFonts w:ascii="宋体" w:hAnsi="宋体" w:eastAsia="宋体" w:cs="宋体"/>
        <w:spacing w:val="-7"/>
        <w:sz w:val="31"/>
        <w:szCs w:val="31"/>
      </w:rPr>
      <w:t>4</w:t>
    </w:r>
    <w:r>
      <w:rPr>
        <w:rFonts w:ascii="宋体" w:hAnsi="宋体" w:eastAsia="宋体" w:cs="宋体"/>
        <w:spacing w:val="91"/>
        <w:sz w:val="31"/>
        <w:szCs w:val="31"/>
      </w:rPr>
      <w:t xml:space="preserve"> </w:t>
    </w:r>
    <w:r>
      <w:rPr>
        <w:rFonts w:ascii="宋体" w:hAnsi="宋体" w:eastAsia="宋体" w:cs="宋体"/>
        <w:spacing w:val="-7"/>
        <w:sz w:val="31"/>
        <w:szCs w:val="31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51E7032"/>
    <w:rsid w:val="730E64E5"/>
    <w:rsid w:val="7B6D7A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1247</Words>
  <Characters>1393</Characters>
  <TotalTime>4</TotalTime>
  <ScaleCrop>false</ScaleCrop>
  <LinksUpToDate>false</LinksUpToDate>
  <CharactersWithSpaces>1441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2025-10-23T15:06:00Z</dcterms:created>
  <dc:creator>Administrator</dc:creator>
  <cp:lastModifiedBy>KingStorm</cp:lastModifiedBy>
  <dcterms:modified xsi:type="dcterms:W3CDTF">2025-10-23T07:11:36Z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2025-10-23T15:06:52Z</vt:filetime>
  </property>
  <property fmtid="{D5CDD505-2E9C-101B-9397-08002B2CF9AE}" pid="4" name="UsrData">
    <vt:lpwstr>68f9d40aacaf39001fa2f285wl</vt:lpwstr>
  </property>
  <property fmtid="{D5CDD505-2E9C-101B-9397-08002B2CF9AE}" pid="5" name="KSOTemplateDocerSaveRecord">
    <vt:lpwstr>eyJoZGlkIjoiOGFhZDdhYjg5N2Y5YzBjZmQxYzQ5ODBhZWQxYzkyYjYiLCJ1c2VySWQiOiIzODMzNjcwMzgifQ==</vt:lpwstr>
  </property>
  <property fmtid="{D5CDD505-2E9C-101B-9397-08002B2CF9AE}" pid="6" name="KSOProductBuildVer">
    <vt:lpwstr>2052-12.1.0.22529</vt:lpwstr>
  </property>
  <property fmtid="{D5CDD505-2E9C-101B-9397-08002B2CF9AE}" pid="7" name="ICV">
    <vt:lpwstr>0C32E03A49A6480DAA7738AF8AECBA0F_12</vt:lpwstr>
  </property>
</Properties>
</file>