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bookmarkStart w:id="0" w:name="Content"/>
      <w:bookmarkStart w:id="5" w:name="_GoBack"/>
      <w:bookmarkEnd w:id="5"/>
      <w:r>
        <w:rPr>
          <w:rFonts w:hint="eastAsia" w:ascii="黑体" w:hAnsi="黑体" w:eastAsia="黑体" w:cs="黑体"/>
          <w:b w:val="0"/>
          <w:bCs/>
          <w:i w:val="0"/>
          <w:caps w:val="0"/>
          <w:color w:val="auto"/>
          <w:spacing w:val="0"/>
          <w:sz w:val="32"/>
          <w:szCs w:val="32"/>
          <w:shd w:val="clear" w:color="auto" w:fill="auto"/>
          <w:lang w:val="en-US" w:eastAsia="zh-CN"/>
        </w:rPr>
        <w:t>附件3</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广州市从化区人民政府</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征地补偿安置方案公告</w:t>
      </w:r>
    </w:p>
    <w:p>
      <w:pPr>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jc w:val="center"/>
      </w:pPr>
      <w:bookmarkStart w:id="1" w:name="OLE_LINK1"/>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23</w:t>
      </w:r>
      <w:r>
        <w:t>号</w:t>
      </w:r>
    </w:p>
    <w:bookmarkEnd w:id="1"/>
    <w:p>
      <w:pPr>
        <w:spacing w:line="240" w:lineRule="auto"/>
        <w:ind w:firstLine="0" w:firstLineChars="0"/>
        <w:jc w:val="center"/>
        <w:rPr>
          <w:rFonts w:hint="eastAsia" w:ascii="Times New Roman" w:hAnsi="Times New Roman" w:eastAsia="仿宋_GB2312"/>
          <w:color w:val="000000"/>
          <w:sz w:val="32"/>
          <w:szCs w:val="32"/>
          <w:lang w:eastAsia="zh-CN"/>
        </w:rPr>
      </w:pP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根据《中华人民共和国土地管理法》第四十七条、第四十八条，《中华人民共和国土地管理法实施条例》第二十七条、第二十八条，《广东省土地管理条例》第三十条的规定，我区政府组织编制了广州市从化区</w:t>
      </w:r>
      <w:r>
        <w:rPr>
          <w:rFonts w:hint="eastAsia" w:ascii="Times New Roman" w:hAnsi="Times New Roman" w:eastAsia="仿宋_GB2312"/>
          <w:color w:val="000000"/>
          <w:sz w:val="32"/>
          <w:szCs w:val="32"/>
          <w:lang w:eastAsia="zh-CN"/>
        </w:rPr>
        <w:t>2</w:t>
      </w:r>
      <w:r>
        <w:rPr>
          <w:rFonts w:hint="eastAsia" w:ascii="Times New Roman" w:hAnsi="Times New Roman" w:eastAsia="仿宋_GB2312"/>
          <w:color w:val="000000"/>
          <w:sz w:val="32"/>
          <w:szCs w:val="32"/>
          <w:lang w:val="en-US" w:eastAsia="zh-CN"/>
        </w:rPr>
        <w:t>025</w:t>
      </w:r>
      <w:r>
        <w:rPr>
          <w:rFonts w:hint="eastAsia" w:ascii="Times New Roman" w:hAnsi="Times New Roman" w:eastAsia="仿宋_GB2312"/>
          <w:color w:val="000000"/>
          <w:sz w:val="32"/>
          <w:szCs w:val="32"/>
        </w:rPr>
        <w:t>年度</w:t>
      </w:r>
      <w:r>
        <w:rPr>
          <w:rFonts w:hint="eastAsia" w:ascii="Times New Roman" w:hAnsi="Times New Roman" w:eastAsia="仿宋_GB2312"/>
          <w:color w:val="000000"/>
          <w:sz w:val="32"/>
          <w:szCs w:val="32"/>
          <w:lang w:eastAsia="zh-CN"/>
        </w:rPr>
        <w:t>第</w:t>
      </w:r>
      <w:r>
        <w:rPr>
          <w:rFonts w:hint="eastAsia" w:ascii="Times New Roman" w:hAnsi="Times New Roman" w:eastAsia="仿宋_GB2312"/>
          <w:color w:val="000000"/>
          <w:sz w:val="32"/>
          <w:szCs w:val="32"/>
          <w:lang w:val="en-US" w:eastAsia="zh-CN"/>
        </w:rPr>
        <w:t>十四</w:t>
      </w:r>
      <w:r>
        <w:rPr>
          <w:rFonts w:hint="eastAsia" w:ascii="Times New Roman" w:hAnsi="Times New Roman" w:eastAsia="仿宋_GB2312"/>
          <w:color w:val="000000"/>
          <w:sz w:val="32"/>
          <w:szCs w:val="32"/>
        </w:rPr>
        <w:t>批次城镇开发建设用地项目征地补偿安置方案</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现将征收土地补偿安置有关事项公告如下：</w:t>
      </w:r>
    </w:p>
    <w:p>
      <w:pPr>
        <w:keepNext w:val="0"/>
        <w:keepLines w:val="0"/>
        <w:pageBreakBefore w:val="0"/>
        <w:widowControl w:val="0"/>
        <w:numPr>
          <w:ilvl w:val="0"/>
          <w:numId w:val="1"/>
        </w:numPr>
        <w:spacing w:line="240" w:lineRule="auto"/>
        <w:ind w:firstLine="632" w:firstLineChars="200"/>
        <w:rPr>
          <w:rFonts w:ascii="黑体" w:hAnsi="黑体" w:eastAsia="黑体"/>
          <w:color w:val="000000"/>
          <w:sz w:val="32"/>
          <w:szCs w:val="32"/>
          <w:lang w:val="en-US" w:eastAsia="zh-CN"/>
        </w:rPr>
      </w:pPr>
      <w:r>
        <w:rPr>
          <w:rFonts w:ascii="黑体" w:hAnsi="黑体"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土地位于广州市从化区太平镇钱岗村南向第一、第二、第三、第四、第五、第六、第七、第八、第九、第十、第十一、第十二股份合作经济社</w:t>
      </w:r>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（附件</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lang w:val="en-US" w:eastAsia="zh-CN"/>
        </w:rPr>
        <w:t>）</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ascii="黑体" w:hAnsi="黑体" w:eastAsia="黑体"/>
          <w:color w:val="000000"/>
          <w:sz w:val="32"/>
          <w:szCs w:val="32"/>
        </w:rPr>
        <w:t>二、征收目的</w:t>
      </w:r>
    </w:p>
    <w:p>
      <w:pPr>
        <w:spacing w:line="240" w:lineRule="auto"/>
        <w:ind w:firstLine="632" w:firstLineChars="200"/>
        <w:rPr>
          <w:rFonts w:hint="eastAsia" w:ascii="仿宋_GB2312" w:hAnsi="仿宋_GB2312" w:cs="仿宋_GB2312"/>
          <w:color w:val="000000"/>
          <w:sz w:val="32"/>
          <w:szCs w:val="32"/>
          <w:lang w:eastAsia="zh-CN"/>
        </w:rPr>
        <w:sectPr>
          <w:footerReference r:id="rId3" w:type="default"/>
          <w:pgSz w:w="11906" w:h="16838"/>
          <w:pgMar w:top="1984" w:right="1531" w:bottom="1984" w:left="1531" w:header="0" w:footer="1417" w:gutter="0"/>
          <w:pgNumType w:fmt="decimal"/>
          <w:cols w:space="1701" w:num="1"/>
          <w:docGrid w:type="linesAndChars" w:linePitch="612" w:charSpace="-849"/>
        </w:sectPr>
      </w:pPr>
      <w:r>
        <w:rPr>
          <w:rFonts w:hint="eastAsia" w:ascii="Times New Roman" w:hAnsi="Times New Roman" w:eastAsia="仿宋_GB2312"/>
          <w:color w:val="000000"/>
          <w:sz w:val="32"/>
          <w:szCs w:val="32"/>
        </w:rPr>
        <w:t>根据《中华人民共和国土地管理法》第</w:t>
      </w:r>
      <w:r>
        <w:rPr>
          <w:rFonts w:hint="eastAsia" w:ascii="Times New Roman" w:hAnsi="Times New Roman" w:eastAsia="仿宋_GB2312"/>
          <w:color w:val="000000" w:themeColor="text1"/>
          <w:sz w:val="32"/>
          <w:szCs w:val="32"/>
          <w14:textFill>
            <w14:solidFill>
              <w14:schemeClr w14:val="tx1"/>
            </w14:solidFill>
          </w14:textFill>
        </w:rPr>
        <w:t>四十五条</w:t>
      </w:r>
      <w:r>
        <w:rPr>
          <w:rFonts w:hint="eastAsia" w:ascii="仿宋_GB2312" w:hAnsi="仿宋_GB2312" w:eastAsia="仿宋_GB2312" w:cs="仿宋_GB2312"/>
          <w:color w:val="000000" w:themeColor="text1"/>
          <w:sz w:val="32"/>
          <w:szCs w:val="32"/>
          <w14:textFill>
            <w14:solidFill>
              <w14:schemeClr w14:val="tx1"/>
            </w14:solidFill>
          </w14:textFill>
        </w:rPr>
        <w:t>第（</w:t>
      </w:r>
      <w:r>
        <w:rPr>
          <w:rFonts w:hint="eastAsia" w:ascii="仿宋_GB2312" w:hAnsi="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lang w:eastAsia="zh-CN"/>
          <w14:textFill>
            <w14:solidFill>
              <w14:schemeClr w14:val="tx1"/>
            </w14:solidFill>
          </w14:textFill>
        </w:rPr>
        <w:t>款</w:t>
      </w:r>
    </w:p>
    <w:p>
      <w:pPr>
        <w:spacing w:line="240" w:lineRule="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的规定，本次征收土地的目的为</w:t>
      </w:r>
      <w:r>
        <w:rPr>
          <w:rFonts w:hint="eastAsia" w:ascii="仿宋_GB2312" w:hAnsi="仿宋_GB2312" w:eastAsia="仿宋_GB2312"/>
          <w:i w:val="0"/>
          <w:caps w:val="0"/>
          <w:color w:val="000000"/>
          <w:spacing w:val="0"/>
          <w:sz w:val="32"/>
          <w:szCs w:val="32"/>
          <w:shd w:val="clear" w:color="auto" w:fill="FFFFFF"/>
        </w:rPr>
        <w:t>由政府组织实施的</w:t>
      </w:r>
      <w:r>
        <w:rPr>
          <w:rFonts w:hint="eastAsia" w:ascii="仿宋_GB2312" w:hAnsi="仿宋_GB2312"/>
          <w:i w:val="0"/>
          <w:caps w:val="0"/>
          <w:color w:val="000000"/>
          <w:spacing w:val="0"/>
          <w:sz w:val="32"/>
          <w:szCs w:val="32"/>
          <w:shd w:val="clear" w:color="auto" w:fill="FFFFFF"/>
          <w:lang w:eastAsia="zh-CN"/>
        </w:rPr>
        <w:t>体育</w:t>
      </w:r>
      <w:r>
        <w:rPr>
          <w:rFonts w:hint="eastAsia" w:ascii="仿宋_GB2312" w:hAnsi="仿宋_GB2312" w:eastAsia="仿宋_GB2312"/>
          <w:i w:val="0"/>
          <w:caps w:val="0"/>
          <w:color w:val="000000"/>
          <w:spacing w:val="0"/>
          <w:sz w:val="32"/>
          <w:szCs w:val="32"/>
          <w:shd w:val="clear" w:color="auto" w:fill="FFFFFF"/>
        </w:rPr>
        <w:t>事业需要用地</w:t>
      </w:r>
      <w:r>
        <w:rPr>
          <w:rFonts w:hint="eastAsia" w:ascii="Times New Roman" w:hAnsi="Times New Roman" w:eastAsia="仿宋_GB2312"/>
          <w:color w:val="000000"/>
          <w:sz w:val="32"/>
          <w:szCs w:val="32"/>
        </w:rPr>
        <w:t>。</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rPr>
        <w:t>三</w:t>
      </w:r>
      <w:r>
        <w:rPr>
          <w:rFonts w:ascii="黑体" w:hAnsi="黑体" w:eastAsia="黑体"/>
          <w:color w:val="000000"/>
          <w:sz w:val="32"/>
          <w:szCs w:val="32"/>
        </w:rPr>
        <w:t>、</w:t>
      </w:r>
      <w:r>
        <w:rPr>
          <w:rFonts w:hint="eastAsia" w:ascii="黑体" w:hAnsi="黑体" w:eastAsia="黑体"/>
          <w:color w:val="000000"/>
          <w:sz w:val="32"/>
          <w:szCs w:val="32"/>
        </w:rPr>
        <w:t>土地现状</w:t>
      </w:r>
    </w:p>
    <w:p>
      <w:pPr>
        <w:keepNext w:val="0"/>
        <w:keepLines w:val="0"/>
        <w:pageBreakBefore w:val="0"/>
        <w:widowControl w:val="0"/>
        <w:spacing w:line="240" w:lineRule="auto"/>
        <w:ind w:firstLine="632"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根据拟征收土地现状调查结果，拟征收土地现状为：</w:t>
      </w:r>
    </w:p>
    <w:p>
      <w:pPr>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广州市从化区太平镇钱岗村南向第一、第二、第三、第四、第五、第六、第七、第八、第九、第十、第十一、第十二股份合作经济社</w:t>
      </w:r>
      <w:r>
        <w:rPr>
          <w:rFonts w:eastAsia="仿宋_GB2312"/>
          <w:color w:val="000000"/>
          <w:sz w:val="32"/>
          <w:szCs w:val="32"/>
        </w:rPr>
        <w:t>集体所有土地</w:t>
      </w:r>
      <w:r>
        <w:rPr>
          <w:rFonts w:hint="eastAsia" w:eastAsia="仿宋_GB2312"/>
          <w:color w:val="000000"/>
          <w:sz w:val="32"/>
          <w:szCs w:val="32"/>
          <w:lang w:val="en-US" w:eastAsia="zh-CN"/>
        </w:rPr>
        <w:t>1.3256</w:t>
      </w:r>
      <w:r>
        <w:rPr>
          <w:rFonts w:eastAsia="仿宋_GB2312"/>
          <w:color w:val="000000"/>
          <w:sz w:val="32"/>
          <w:szCs w:val="32"/>
        </w:rPr>
        <w:t>公顷（</w:t>
      </w:r>
      <w:r>
        <w:rPr>
          <w:rFonts w:hint="eastAsia" w:eastAsia="仿宋_GB2312"/>
          <w:color w:val="000000"/>
          <w:sz w:val="32"/>
          <w:szCs w:val="32"/>
          <w:lang w:val="en-US" w:eastAsia="zh-CN"/>
        </w:rPr>
        <w:t>19.884</w:t>
      </w:r>
      <w:r>
        <w:rPr>
          <w:rFonts w:eastAsia="仿宋_GB2312"/>
          <w:color w:val="000000"/>
          <w:sz w:val="32"/>
          <w:szCs w:val="32"/>
        </w:rPr>
        <w:t>亩）</w:t>
      </w:r>
      <w:r>
        <w:rPr>
          <w:rFonts w:ascii="Times New Roman" w:hAnsi="Times New Roman" w:eastAsia="仿宋_GB2312"/>
          <w:color w:val="000000"/>
          <w:sz w:val="32"/>
          <w:szCs w:val="32"/>
        </w:rPr>
        <w:t>。其中</w:t>
      </w:r>
      <w:r>
        <w:rPr>
          <w:rFonts w:hint="eastAsia" w:ascii="Times New Roman" w:hAnsi="Times New Roman" w:eastAsia="仿宋_GB2312"/>
          <w:color w:val="000000"/>
          <w:sz w:val="32"/>
          <w:szCs w:val="32"/>
          <w:lang w:val="en-US" w:eastAsia="zh-CN"/>
        </w:rPr>
        <w:t>农用地</w:t>
      </w:r>
      <w:r>
        <w:rPr>
          <w:rFonts w:hint="eastAsia" w:eastAsia="仿宋_GB2312"/>
          <w:color w:val="000000"/>
          <w:sz w:val="32"/>
          <w:szCs w:val="32"/>
          <w:lang w:val="en-US" w:eastAsia="zh-CN"/>
        </w:rPr>
        <w:t>1.3256</w:t>
      </w:r>
      <w:r>
        <w:rPr>
          <w:rFonts w:hint="eastAsia" w:ascii="Times New Roman" w:hAnsi="Times New Roman" w:eastAsia="仿宋_GB2312"/>
          <w:color w:val="000000"/>
          <w:sz w:val="32"/>
          <w:szCs w:val="32"/>
          <w:lang w:val="en-US" w:eastAsia="zh-CN"/>
        </w:rPr>
        <w:t>公顷</w:t>
      </w:r>
      <w:r>
        <w:rPr>
          <w:rFonts w:hint="eastAsia" w:ascii="Times New Roman" w:hAnsi="Times New Roman" w:eastAsia="仿宋_GB2312"/>
          <w:color w:val="000000"/>
          <w:sz w:val="32"/>
          <w:szCs w:val="32"/>
        </w:rPr>
        <w:t>（</w:t>
      </w:r>
      <w:r>
        <w:rPr>
          <w:rFonts w:hint="eastAsia" w:eastAsia="仿宋_GB2312"/>
          <w:color w:val="000000"/>
          <w:sz w:val="32"/>
          <w:szCs w:val="32"/>
          <w:lang w:val="en-US" w:eastAsia="zh-CN"/>
        </w:rPr>
        <w:t>19.884</w:t>
      </w:r>
      <w:r>
        <w:rPr>
          <w:rFonts w:hint="eastAsia" w:ascii="Times New Roman" w:hAnsi="Times New Roman" w:eastAsia="仿宋_GB2312"/>
          <w:color w:val="000000"/>
          <w:sz w:val="32"/>
          <w:szCs w:val="32"/>
        </w:rPr>
        <w:t>亩）</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eastAsia="zh-CN"/>
        </w:rPr>
        <w:t>建设用地</w:t>
      </w:r>
      <w:r>
        <w:rPr>
          <w:rFonts w:hint="eastAsia"/>
          <w:color w:val="000000"/>
          <w:sz w:val="32"/>
          <w:szCs w:val="32"/>
          <w:lang w:val="en-US" w:eastAsia="zh-CN"/>
        </w:rPr>
        <w:t>、</w:t>
      </w:r>
      <w:r>
        <w:rPr>
          <w:rFonts w:ascii="Times New Roman" w:hAnsi="Times New Roman" w:eastAsia="仿宋_GB2312"/>
          <w:color w:val="000000"/>
          <w:sz w:val="32"/>
          <w:szCs w:val="32"/>
          <w:lang w:val="en-US" w:eastAsia="zh-CN"/>
        </w:rPr>
        <w:t>未利用地。</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79.5</w:t>
      </w:r>
      <w:r>
        <w:rPr>
          <w:rFonts w:eastAsia="仿宋_GB2312"/>
          <w:color w:val="000000"/>
          <w:sz w:val="32"/>
          <w:szCs w:val="32"/>
        </w:rPr>
        <w:t>万元/公顷，安置补助标准为</w:t>
      </w:r>
      <w:r>
        <w:rPr>
          <w:rFonts w:hint="eastAsia" w:eastAsia="仿宋_GB2312"/>
          <w:color w:val="000000"/>
          <w:sz w:val="32"/>
          <w:szCs w:val="32"/>
          <w:lang w:val="en-US" w:eastAsia="zh-CN"/>
        </w:rPr>
        <w:t>79.5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该项目用地不涉及农村村民住宅补偿</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sz w:val="32"/>
          <w:szCs w:val="32"/>
        </w:rPr>
        <w:t>其他地上附着物和青苗补偿按《广州市从化区人民政府关于印发广州市从化区农民集体所有土地征收补偿实施办法的通知》（从府规〔2024〕2号）的规定执行。</w:t>
      </w:r>
      <w:bookmarkStart w:id="2" w:name="_Hlk132708274"/>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五</w:t>
      </w:r>
      <w:r>
        <w:rPr>
          <w:rFonts w:ascii="黑体" w:hAnsi="黑体" w:eastAsia="黑体"/>
          <w:color w:val="000000"/>
          <w:sz w:val="32"/>
          <w:szCs w:val="32"/>
        </w:rPr>
        <w:t>、安置方式和社会保障</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bookmarkStart w:id="3" w:name="_Hlk132708182"/>
      <w:r>
        <w:rPr>
          <w:rFonts w:hint="eastAsia" w:ascii="仿宋_GB2312" w:hAnsi="仿宋_GB2312" w:eastAsia="仿宋_GB2312"/>
          <w:color w:val="000000"/>
          <w:sz w:val="32"/>
          <w:szCs w:val="32"/>
        </w:rPr>
        <w:t>（一）货币安置。</w:t>
      </w:r>
      <w:r>
        <w:rPr>
          <w:rFonts w:hint="eastAsia" w:ascii="仿宋_GB2312" w:hAnsi="仿宋_GB2312" w:eastAsia="仿宋_GB2312"/>
          <w:color w:val="000000"/>
          <w:sz w:val="32"/>
          <w:szCs w:val="32"/>
          <w:lang w:val="en-US" w:eastAsia="zh-CN"/>
        </w:rPr>
        <w:t>有关</w:t>
      </w:r>
      <w:r>
        <w:rPr>
          <w:rFonts w:hint="eastAsia" w:ascii="仿宋_GB2312" w:hAnsi="仿宋_GB2312" w:eastAsia="仿宋_GB2312"/>
          <w:color w:val="000000"/>
          <w:sz w:val="32"/>
          <w:szCs w:val="32"/>
        </w:rPr>
        <w:t>费用已包含在土地补偿</w:t>
      </w:r>
      <w:r>
        <w:rPr>
          <w:rFonts w:hint="eastAsia" w:ascii="仿宋_GB2312" w:hAnsi="仿宋_GB2312" w:eastAsia="仿宋_GB2312"/>
          <w:color w:val="000000"/>
          <w:sz w:val="32"/>
          <w:szCs w:val="32"/>
          <w:lang w:val="en-US" w:eastAsia="zh-CN"/>
        </w:rPr>
        <w:t>费与</w:t>
      </w:r>
      <w:r>
        <w:rPr>
          <w:rFonts w:hint="eastAsia" w:ascii="仿宋_GB2312" w:hAnsi="仿宋_GB2312" w:eastAsia="仿宋_GB2312"/>
          <w:color w:val="000000"/>
          <w:sz w:val="32"/>
          <w:szCs w:val="32"/>
        </w:rPr>
        <w:t>安置</w:t>
      </w:r>
      <w:r>
        <w:rPr>
          <w:rFonts w:hint="eastAsia" w:ascii="仿宋_GB2312" w:hAnsi="仿宋_GB2312" w:eastAsia="仿宋_GB2312"/>
          <w:color w:val="000000"/>
          <w:sz w:val="32"/>
          <w:szCs w:val="32"/>
          <w:lang w:val="en-US" w:eastAsia="zh-CN"/>
        </w:rPr>
        <w:t>补助</w:t>
      </w:r>
      <w:r>
        <w:rPr>
          <w:rFonts w:hint="eastAsia" w:ascii="仿宋_GB2312" w:hAnsi="仿宋_GB2312" w:eastAsia="仿宋_GB2312"/>
          <w:color w:val="000000"/>
          <w:sz w:val="32"/>
          <w:szCs w:val="32"/>
        </w:rPr>
        <w:t>费中。</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（二）留用地安置。根据《广东省人民政府办公厅关于加强征收农村集体土地留用地安置管理工作的意见》（粤府办〔2016〕30号）等相关规定，按实际征收土地面积的10%，按照</w:t>
      </w:r>
      <w:r>
        <w:rPr>
          <w:rFonts w:hint="eastAsia" w:ascii="仿宋_GB2312" w:hAnsi="仿宋_GB2312" w:eastAsia="仿宋_GB2312"/>
          <w:color w:val="000000"/>
          <w:sz w:val="32"/>
          <w:szCs w:val="32"/>
          <w:lang w:val="en-US" w:eastAsia="zh-CN"/>
        </w:rPr>
        <w:t>留地折算货币补偿</w:t>
      </w:r>
      <w:r>
        <w:rPr>
          <w:rFonts w:hint="eastAsia" w:ascii="仿宋_GB2312" w:hAnsi="仿宋_GB2312" w:eastAsia="仿宋_GB2312"/>
          <w:color w:val="000000"/>
          <w:sz w:val="32"/>
          <w:szCs w:val="32"/>
        </w:rPr>
        <w:t>安排留用地。</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（三）社会保障。</w:t>
      </w:r>
      <w:r>
        <w:rPr>
          <w:rFonts w:hint="eastAsia" w:ascii="仿宋_GB2312" w:hAnsi="仿宋_GB2312" w:eastAsia="仿宋_GB2312"/>
          <w:color w:val="000000"/>
          <w:sz w:val="32"/>
          <w:szCs w:val="32"/>
          <w:lang w:eastAsia="zh-CN"/>
        </w:rPr>
        <w:t>该项目征收</w:t>
      </w:r>
      <w:r>
        <w:rPr>
          <w:rFonts w:hint="eastAsia" w:ascii="Times New Roman" w:hAnsi="Times New Roman" w:eastAsia="仿宋_GB2312"/>
          <w:color w:val="000000"/>
          <w:sz w:val="32"/>
          <w:szCs w:val="32"/>
          <w:lang w:eastAsia="zh-CN"/>
        </w:rPr>
        <w:t>广州市从化区太平镇钱岗村南向第一、第二、第三、第四、第五、第六、第七、第八、第九、第十、第十一、第十二股份合作经济社</w:t>
      </w:r>
      <w:r>
        <w:rPr>
          <w:rFonts w:eastAsia="仿宋_GB2312"/>
          <w:color w:val="000000"/>
          <w:sz w:val="32"/>
          <w:szCs w:val="32"/>
        </w:rPr>
        <w:t>集体所有土地</w:t>
      </w:r>
      <w:r>
        <w:rPr>
          <w:rFonts w:hint="eastAsia" w:eastAsia="仿宋_GB2312"/>
          <w:color w:val="000000"/>
          <w:sz w:val="32"/>
          <w:szCs w:val="32"/>
          <w:lang w:eastAsia="zh-CN"/>
        </w:rPr>
        <w:t>面积共</w:t>
      </w:r>
      <w:r>
        <w:rPr>
          <w:rFonts w:hint="eastAsia" w:eastAsia="仿宋_GB2312"/>
          <w:color w:val="000000"/>
          <w:sz w:val="32"/>
          <w:szCs w:val="32"/>
          <w:lang w:val="en-US" w:eastAsia="zh-CN"/>
        </w:rPr>
        <w:t>19.884</w:t>
      </w:r>
      <w:r>
        <w:rPr>
          <w:rFonts w:ascii="Times New Roman" w:hAnsi="Times New Roman" w:eastAsia="仿宋_GB2312"/>
          <w:b w:val="0"/>
          <w:bCs w:val="0"/>
          <w:color w:val="000000"/>
          <w:sz w:val="32"/>
          <w:szCs w:val="32"/>
        </w:rPr>
        <w:t>亩</w:t>
      </w:r>
      <w:r>
        <w:rPr>
          <w:rFonts w:hint="eastAsia" w:ascii="Times New Roman" w:hAnsi="Times New Roman" w:eastAsia="仿宋_GB2312"/>
          <w:color w:val="000000"/>
          <w:sz w:val="32"/>
          <w:szCs w:val="32"/>
          <w:lang w:eastAsia="zh-CN"/>
        </w:rPr>
        <w:t>，</w:t>
      </w:r>
      <w:r>
        <w:rPr>
          <w:rFonts w:hint="eastAsia" w:ascii="仿宋_GB2312" w:hAnsi="仿宋_GB2312" w:eastAsia="仿宋_GB2312"/>
          <w:color w:val="000000"/>
          <w:sz w:val="32"/>
          <w:szCs w:val="32"/>
        </w:rPr>
        <w:t>根据</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广东省人民政府办公厅转发省人力资源社会保障厅关于进一步完善我省被征地农民养老保障政策意见的通知</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粤府办</w:t>
      </w:r>
      <w:r>
        <w:rPr>
          <w:rFonts w:ascii="Times New Roman" w:hAnsi="Times New Roman" w:eastAsia="仿宋_GB2312"/>
          <w:color w:val="000000"/>
          <w:sz w:val="32"/>
          <w:szCs w:val="32"/>
        </w:rPr>
        <w:t>〔2021〕22号）</w:t>
      </w:r>
      <w:r>
        <w:rPr>
          <w:rFonts w:hint="eastAsia" w:ascii="Times New Roman" w:hAnsi="Times New Roman" w:eastAsia="仿宋_GB2312"/>
          <w:color w:val="000000"/>
          <w:sz w:val="32"/>
          <w:szCs w:val="32"/>
        </w:rPr>
        <w:t>规定，核定该项目按我区平均每亩征收农用地区片综合地价9.74万元</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rPr>
        <w:t>的18%比例</w:t>
      </w:r>
      <w:r>
        <w:rPr>
          <w:rFonts w:hint="eastAsia" w:ascii="Times New Roman" w:hAnsi="Times New Roman" w:eastAsia="仿宋_GB2312"/>
          <w:color w:val="000000"/>
          <w:sz w:val="32"/>
          <w:szCs w:val="32"/>
          <w:lang w:eastAsia="zh-CN"/>
        </w:rPr>
        <w:t>标准</w:t>
      </w:r>
      <w:r>
        <w:rPr>
          <w:rFonts w:hint="eastAsia" w:ascii="Times New Roman" w:hAnsi="Times New Roman" w:eastAsia="仿宋_GB2312"/>
          <w:color w:val="000000"/>
          <w:sz w:val="32"/>
          <w:szCs w:val="32"/>
        </w:rPr>
        <w:t>一次性计提</w:t>
      </w:r>
      <w:r>
        <w:rPr>
          <w:rFonts w:hint="eastAsia" w:ascii="Times New Roman" w:hAnsi="Times New Roman" w:eastAsia="仿宋_GB2312"/>
          <w:color w:val="000000"/>
          <w:sz w:val="32"/>
          <w:szCs w:val="32"/>
          <w:lang w:eastAsia="zh-CN"/>
        </w:rPr>
        <w:t>征地社保费共</w:t>
      </w:r>
      <w:r>
        <w:rPr>
          <w:rFonts w:hint="eastAsia" w:ascii="Times New Roman" w:hAnsi="Times New Roman" w:eastAsia="仿宋_GB2312"/>
          <w:color w:val="000000"/>
          <w:sz w:val="32"/>
          <w:szCs w:val="32"/>
          <w:lang w:val="en-US" w:eastAsia="zh-CN"/>
        </w:rPr>
        <w:t>35</w:t>
      </w:r>
      <w:r>
        <w:rPr>
          <w:rFonts w:hint="eastAsia" w:ascii="Times New Roman" w:hAnsi="Times New Roman" w:eastAsia="仿宋_GB2312"/>
          <w:color w:val="000000"/>
          <w:sz w:val="32"/>
          <w:szCs w:val="32"/>
          <w:lang w:eastAsia="zh-CN"/>
        </w:rPr>
        <w:t>万元，预</w:t>
      </w:r>
      <w:r>
        <w:rPr>
          <w:rFonts w:hint="eastAsia" w:ascii="Times New Roman" w:hAnsi="Times New Roman" w:eastAsia="仿宋_GB2312"/>
          <w:color w:val="000000"/>
          <w:sz w:val="32"/>
          <w:szCs w:val="32"/>
        </w:rPr>
        <w:t>存入</w:t>
      </w:r>
      <w:r>
        <w:rPr>
          <w:rFonts w:hint="eastAsia" w:ascii="Times New Roman" w:hAnsi="Times New Roman" w:eastAsia="仿宋_GB2312"/>
          <w:color w:val="000000"/>
          <w:sz w:val="32"/>
          <w:szCs w:val="32"/>
          <w:lang w:eastAsia="zh-CN"/>
        </w:rPr>
        <w:t>区</w:t>
      </w:r>
      <w:r>
        <w:rPr>
          <w:rFonts w:hint="eastAsia" w:ascii="Times New Roman" w:hAnsi="Times New Roman" w:eastAsia="仿宋_GB2312"/>
          <w:color w:val="000000"/>
          <w:sz w:val="32"/>
          <w:szCs w:val="32"/>
        </w:rPr>
        <w:t>“收缴被征地农民养老保障资金过渡户”，</w:t>
      </w:r>
      <w:bookmarkEnd w:id="2"/>
      <w:bookmarkEnd w:id="3"/>
      <w:r>
        <w:rPr>
          <w:rFonts w:hint="eastAsia" w:ascii="仿宋_GB2312" w:hAnsi="仿宋_GB2312" w:eastAsia="仿宋_GB2312"/>
          <w:color w:val="000000"/>
          <w:sz w:val="32"/>
          <w:szCs w:val="32"/>
        </w:rPr>
        <w:t>专款用于被征地农民养老</w:t>
      </w:r>
      <w:r>
        <w:rPr>
          <w:rFonts w:hint="eastAsia" w:ascii="仿宋_GB2312" w:hAnsi="仿宋_GB2312" w:eastAsia="仿宋_GB2312"/>
          <w:color w:val="000000"/>
          <w:sz w:val="32"/>
          <w:szCs w:val="32"/>
          <w:lang w:eastAsia="zh-CN"/>
        </w:rPr>
        <w:t>保障（详见附件</w:t>
      </w: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六</w:t>
      </w:r>
      <w:r>
        <w:rPr>
          <w:rFonts w:ascii="黑体" w:hAnsi="黑体" w:eastAsia="黑体"/>
          <w:color w:val="000000"/>
          <w:sz w:val="32"/>
          <w:szCs w:val="32"/>
        </w:rPr>
        <w:t>、</w:t>
      </w:r>
      <w:r>
        <w:rPr>
          <w:rFonts w:hint="eastAsia" w:ascii="黑体" w:hAnsi="黑体" w:eastAsia="黑体"/>
          <w:color w:val="000000"/>
          <w:sz w:val="32"/>
          <w:szCs w:val="32"/>
        </w:rPr>
        <w:t>其他事项</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（一）公告时间：2025年</w:t>
      </w:r>
      <w:r>
        <w:rPr>
          <w:rFonts w:hint="eastAsia"/>
          <w:color w:val="000000"/>
          <w:sz w:val="32"/>
          <w:szCs w:val="32"/>
          <w:lang w:val="en-US" w:eastAsia="zh-CN"/>
        </w:rPr>
        <w:t>9</w:t>
      </w:r>
      <w:r>
        <w:rPr>
          <w:rFonts w:hint="eastAsia" w:ascii="Times New Roman" w:hAnsi="Times New Roman" w:eastAsia="仿宋_GB2312"/>
          <w:color w:val="000000"/>
          <w:sz w:val="32"/>
          <w:szCs w:val="32"/>
        </w:rPr>
        <w:t>月</w:t>
      </w:r>
      <w:r>
        <w:rPr>
          <w:rFonts w:hint="eastAsia"/>
          <w:color w:val="000000"/>
          <w:sz w:val="32"/>
          <w:szCs w:val="32"/>
          <w:lang w:val="en-US" w:eastAsia="zh-CN"/>
        </w:rPr>
        <w:t>20</w:t>
      </w:r>
      <w:r>
        <w:rPr>
          <w:rFonts w:hint="eastAsia" w:ascii="Times New Roman" w:hAnsi="Times New Roman" w:eastAsia="仿宋_GB2312"/>
          <w:color w:val="000000"/>
          <w:sz w:val="32"/>
          <w:szCs w:val="32"/>
        </w:rPr>
        <w:t>日至2025年</w:t>
      </w:r>
      <w:r>
        <w:rPr>
          <w:rFonts w:hint="eastAsia"/>
          <w:color w:val="000000"/>
          <w:sz w:val="32"/>
          <w:szCs w:val="32"/>
          <w:lang w:val="en-US" w:eastAsia="zh-CN"/>
        </w:rPr>
        <w:t>10</w:t>
      </w:r>
      <w:r>
        <w:rPr>
          <w:rFonts w:hint="eastAsia" w:ascii="Times New Roman" w:hAnsi="Times New Roman" w:eastAsia="仿宋_GB2312"/>
          <w:color w:val="000000"/>
          <w:sz w:val="32"/>
          <w:szCs w:val="32"/>
        </w:rPr>
        <w:t>月</w:t>
      </w:r>
      <w:r>
        <w:rPr>
          <w:rFonts w:hint="eastAsia"/>
          <w:color w:val="000000"/>
          <w:sz w:val="32"/>
          <w:szCs w:val="32"/>
          <w:lang w:val="en-US" w:eastAsia="zh-CN"/>
        </w:rPr>
        <w:t>19</w:t>
      </w:r>
      <w:r>
        <w:rPr>
          <w:rFonts w:hint="eastAsia" w:ascii="Times New Roman" w:hAnsi="Times New Roman" w:eastAsia="仿宋_GB2312"/>
          <w:color w:val="000000"/>
          <w:sz w:val="32"/>
          <w:szCs w:val="32"/>
        </w:rPr>
        <w:t>日（不少于30日）</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（二）补偿登记期限和方式。被征收土地所有权人及相关权利人应当在2025年</w:t>
      </w:r>
      <w:r>
        <w:rPr>
          <w:rFonts w:hint="eastAsia"/>
          <w:color w:val="000000"/>
          <w:sz w:val="32"/>
          <w:szCs w:val="32"/>
          <w:lang w:val="en-US" w:eastAsia="zh-CN"/>
        </w:rPr>
        <w:t>9</w:t>
      </w:r>
      <w:r>
        <w:rPr>
          <w:rFonts w:hint="eastAsia" w:ascii="Times New Roman" w:hAnsi="Times New Roman" w:eastAsia="仿宋_GB2312"/>
          <w:color w:val="000000"/>
          <w:sz w:val="32"/>
          <w:szCs w:val="32"/>
        </w:rPr>
        <w:t>月</w:t>
      </w:r>
      <w:r>
        <w:rPr>
          <w:rFonts w:hint="eastAsia"/>
          <w:color w:val="000000"/>
          <w:sz w:val="32"/>
          <w:szCs w:val="32"/>
          <w:lang w:val="en-US" w:eastAsia="zh-CN"/>
        </w:rPr>
        <w:t>20</w:t>
      </w:r>
      <w:r>
        <w:rPr>
          <w:rFonts w:hint="eastAsia" w:ascii="Times New Roman" w:hAnsi="Times New Roman" w:eastAsia="仿宋_GB2312"/>
          <w:color w:val="000000"/>
          <w:sz w:val="32"/>
          <w:szCs w:val="32"/>
        </w:rPr>
        <w:t>日至2025年</w:t>
      </w:r>
      <w:r>
        <w:rPr>
          <w:rFonts w:hint="eastAsia"/>
          <w:color w:val="000000"/>
          <w:sz w:val="32"/>
          <w:szCs w:val="32"/>
          <w:lang w:val="en-US" w:eastAsia="zh-CN"/>
        </w:rPr>
        <w:t>10</w:t>
      </w:r>
      <w:r>
        <w:rPr>
          <w:rFonts w:hint="eastAsia" w:ascii="Times New Roman" w:hAnsi="Times New Roman" w:eastAsia="仿宋_GB2312"/>
          <w:color w:val="000000"/>
          <w:sz w:val="32"/>
          <w:szCs w:val="32"/>
        </w:rPr>
        <w:t>月</w:t>
      </w:r>
      <w:r>
        <w:rPr>
          <w:rFonts w:hint="eastAsia"/>
          <w:color w:val="000000"/>
          <w:sz w:val="32"/>
          <w:szCs w:val="32"/>
          <w:lang w:val="en-US" w:eastAsia="zh-CN"/>
        </w:rPr>
        <w:t>19</w:t>
      </w:r>
      <w:r>
        <w:rPr>
          <w:rFonts w:hint="eastAsia" w:ascii="Times New Roman" w:hAnsi="Times New Roman" w:eastAsia="仿宋_GB2312"/>
          <w:color w:val="000000"/>
          <w:sz w:val="32"/>
          <w:szCs w:val="32"/>
        </w:rPr>
        <w:t>日内，持集体土地所有权证、集体土地使用权证、集体土地承包合同及身份证等证明材料至广州市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李伟坚</w:t>
      </w:r>
      <w:r>
        <w:rPr>
          <w:rFonts w:hint="eastAsia" w:ascii="Times New Roman" w:hAnsi="Times New Roman" w:eastAsia="仿宋_GB2312"/>
          <w:color w:val="000000"/>
          <w:sz w:val="32"/>
          <w:szCs w:val="32"/>
        </w:rPr>
        <w:t>；联系电话：</w:t>
      </w:r>
      <w:r>
        <w:rPr>
          <w:rFonts w:hint="eastAsia" w:ascii="Times New Roman" w:hAnsi="Times New Roman" w:eastAsia="仿宋_GB2312"/>
          <w:color w:val="000000"/>
          <w:sz w:val="32"/>
          <w:szCs w:val="32"/>
          <w:lang w:val="en-US" w:eastAsia="zh-CN"/>
        </w:rPr>
        <w:t>020-87811778</w:t>
      </w:r>
      <w:r>
        <w:rPr>
          <w:rFonts w:hint="eastAsia" w:ascii="Times New Roman" w:hAnsi="Times New Roman" w:eastAsia="仿宋_GB2312"/>
          <w:color w:val="000000"/>
          <w:sz w:val="32"/>
          <w:szCs w:val="32"/>
        </w:rPr>
        <w:t>）办理征地补偿登记手续，请相互转告。未</w:t>
      </w:r>
      <w:r>
        <w:rPr>
          <w:rFonts w:hint="eastAsia" w:ascii="Times New Roman" w:hAnsi="Times New Roman" w:eastAsia="仿宋_GB2312"/>
          <w:color w:val="000000"/>
          <w:sz w:val="32"/>
          <w:szCs w:val="32"/>
          <w:lang w:eastAsia="zh-CN"/>
        </w:rPr>
        <w:t>按期</w:t>
      </w:r>
      <w:r>
        <w:rPr>
          <w:rFonts w:hint="eastAsia" w:ascii="Times New Roman" w:hAnsi="Times New Roman" w:eastAsia="仿宋_GB2312"/>
          <w:color w:val="000000"/>
          <w:sz w:val="32"/>
          <w:szCs w:val="32"/>
        </w:rPr>
        <w:t>办理补偿登记的，其补偿内容以经确认</w:t>
      </w:r>
      <w:r>
        <w:rPr>
          <w:rFonts w:hint="eastAsia" w:ascii="Times New Roman" w:hAnsi="Times New Roman" w:eastAsia="仿宋_GB2312"/>
          <w:color w:val="000000"/>
          <w:sz w:val="32"/>
          <w:szCs w:val="32"/>
          <w:lang w:eastAsia="zh-CN"/>
        </w:rPr>
        <w:t>或者</w:t>
      </w:r>
      <w:r>
        <w:rPr>
          <w:rFonts w:hint="eastAsia" w:ascii="Times New Roman" w:hAnsi="Times New Roman" w:eastAsia="仿宋_GB2312"/>
          <w:color w:val="000000"/>
          <w:sz w:val="32"/>
          <w:szCs w:val="32"/>
        </w:rPr>
        <w:t>公示的</w:t>
      </w:r>
      <w:r>
        <w:rPr>
          <w:rFonts w:hint="eastAsia" w:ascii="Times New Roman" w:hAnsi="Times New Roman" w:eastAsia="仿宋_GB2312"/>
          <w:color w:val="000000"/>
          <w:sz w:val="32"/>
          <w:szCs w:val="32"/>
          <w:lang w:eastAsia="zh-CN"/>
        </w:rPr>
        <w:t>土地现状</w:t>
      </w:r>
      <w:r>
        <w:rPr>
          <w:rFonts w:hint="eastAsia" w:ascii="Times New Roman" w:hAnsi="Times New Roman" w:eastAsia="仿宋_GB2312"/>
          <w:color w:val="000000"/>
          <w:sz w:val="32"/>
          <w:szCs w:val="32"/>
        </w:rPr>
        <w:t>调查结果为准。</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（三）异议反馈渠道。对本征地补偿安置方案有异议的，请于2025年</w:t>
      </w:r>
      <w:r>
        <w:rPr>
          <w:rFonts w:hint="eastAsia"/>
          <w:color w:val="000000"/>
          <w:sz w:val="32"/>
          <w:szCs w:val="32"/>
          <w:lang w:val="en-US" w:eastAsia="zh-CN"/>
        </w:rPr>
        <w:t>9</w:t>
      </w:r>
      <w:r>
        <w:rPr>
          <w:rFonts w:hint="eastAsia" w:ascii="Times New Roman" w:hAnsi="Times New Roman" w:eastAsia="仿宋_GB2312"/>
          <w:color w:val="000000"/>
          <w:sz w:val="32"/>
          <w:szCs w:val="32"/>
        </w:rPr>
        <w:t>月</w:t>
      </w:r>
      <w:r>
        <w:rPr>
          <w:rFonts w:hint="eastAsia"/>
          <w:color w:val="000000"/>
          <w:sz w:val="32"/>
          <w:szCs w:val="32"/>
          <w:lang w:val="en-US" w:eastAsia="zh-CN"/>
        </w:rPr>
        <w:t>20</w:t>
      </w:r>
      <w:r>
        <w:rPr>
          <w:rFonts w:hint="eastAsia" w:ascii="Times New Roman" w:hAnsi="Times New Roman" w:eastAsia="仿宋_GB2312"/>
          <w:color w:val="000000"/>
          <w:sz w:val="32"/>
          <w:szCs w:val="32"/>
        </w:rPr>
        <w:t>日至2025年</w:t>
      </w:r>
      <w:r>
        <w:rPr>
          <w:rFonts w:hint="eastAsia"/>
          <w:color w:val="000000"/>
          <w:sz w:val="32"/>
          <w:szCs w:val="32"/>
          <w:lang w:val="en-US" w:eastAsia="zh-CN"/>
        </w:rPr>
        <w:t>10</w:t>
      </w:r>
      <w:r>
        <w:rPr>
          <w:rFonts w:hint="eastAsia" w:ascii="Times New Roman" w:hAnsi="Times New Roman" w:eastAsia="仿宋_GB2312"/>
          <w:color w:val="000000"/>
          <w:sz w:val="32"/>
          <w:szCs w:val="32"/>
        </w:rPr>
        <w:t>月</w:t>
      </w:r>
      <w:r>
        <w:rPr>
          <w:rFonts w:hint="eastAsia"/>
          <w:color w:val="000000"/>
          <w:sz w:val="32"/>
          <w:szCs w:val="32"/>
          <w:lang w:val="en-US" w:eastAsia="zh-CN"/>
        </w:rPr>
        <w:t>19</w:t>
      </w:r>
      <w:r>
        <w:rPr>
          <w:rFonts w:hint="eastAsia" w:ascii="Times New Roman" w:hAnsi="Times New Roman" w:eastAsia="仿宋_GB2312"/>
          <w:color w:val="000000"/>
          <w:sz w:val="32"/>
          <w:szCs w:val="32"/>
        </w:rPr>
        <w:t>日内持土地权属证明材料等向我区征地实施部门提交书面意见。异议提交地址为：广州市从化区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李伟坚</w:t>
      </w:r>
      <w:r>
        <w:rPr>
          <w:rFonts w:hint="eastAsia" w:ascii="Times New Roman" w:hAnsi="Times New Roman" w:eastAsia="仿宋_GB2312"/>
          <w:color w:val="000000"/>
          <w:sz w:val="32"/>
          <w:szCs w:val="32"/>
        </w:rPr>
        <w:t>；联系电话：</w:t>
      </w:r>
      <w:r>
        <w:rPr>
          <w:rFonts w:hint="eastAsia" w:ascii="Times New Roman" w:hAnsi="Times New Roman" w:eastAsia="仿宋_GB2312"/>
          <w:color w:val="000000"/>
          <w:sz w:val="32"/>
          <w:szCs w:val="32"/>
          <w:lang w:val="en-US" w:eastAsia="zh-CN"/>
        </w:rPr>
        <w:t>020-87811778</w:t>
      </w:r>
      <w:r>
        <w:rPr>
          <w:rFonts w:hint="eastAsia" w:ascii="Times New Roman" w:hAnsi="Times New Roman" w:eastAsia="仿宋_GB2312"/>
          <w:color w:val="000000"/>
          <w:sz w:val="32"/>
          <w:szCs w:val="32"/>
        </w:rPr>
        <w:t>；邮编：</w:t>
      </w:r>
      <w:r>
        <w:rPr>
          <w:rFonts w:hint="eastAsia" w:ascii="Times New Roman" w:hAnsi="Times New Roman" w:eastAsia="仿宋_GB2312"/>
          <w:color w:val="000000"/>
          <w:sz w:val="32"/>
          <w:szCs w:val="32"/>
          <w:lang w:val="en-US" w:eastAsia="zh-CN"/>
        </w:rPr>
        <w:t>510900</w:t>
      </w:r>
      <w:r>
        <w:rPr>
          <w:rFonts w:hint="eastAsia" w:ascii="Times New Roman" w:hAnsi="Times New Roman" w:eastAsia="仿宋_GB2312"/>
          <w:color w:val="000000"/>
          <w:sz w:val="32"/>
          <w:szCs w:val="32"/>
        </w:rPr>
        <w:t>）。在规定时间内未提交书面意见的，视为无异议。我区将在收取意见后，对符合《土地管理法》《土地管理法实施条例》《广东省土地管理条例》规定条件的，依法依规组织听证。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w:t>
      </w:r>
      <w:r>
        <w:rPr>
          <w:rFonts w:hint="eastAsia"/>
          <w:color w:val="000000"/>
          <w:sz w:val="32"/>
          <w:szCs w:val="32"/>
          <w:lang w:val="en-US" w:eastAsia="zh-CN"/>
        </w:rPr>
        <w:t>8</w:t>
      </w:r>
      <w:r>
        <w:rPr>
          <w:rFonts w:hint="eastAsia" w:ascii="Times New Roman" w:hAnsi="Times New Roman" w:eastAsia="仿宋_GB2312"/>
          <w:color w:val="000000"/>
          <w:sz w:val="32"/>
          <w:szCs w:val="32"/>
        </w:rPr>
        <w:t>月</w:t>
      </w:r>
      <w:r>
        <w:rPr>
          <w:rFonts w:hint="eastAsia"/>
          <w:color w:val="000000"/>
          <w:sz w:val="32"/>
          <w:szCs w:val="32"/>
          <w:lang w:val="en-US" w:eastAsia="zh-CN"/>
        </w:rPr>
        <w:t>4</w:t>
      </w:r>
      <w:r>
        <w:rPr>
          <w:rFonts w:hint="eastAsia" w:ascii="Times New Roman" w:hAnsi="Times New Roman" w:eastAsia="仿宋_GB2312"/>
          <w:color w:val="000000"/>
          <w:sz w:val="32"/>
          <w:szCs w:val="32"/>
        </w:rPr>
        <w:t>日《征收土地预公告》（穗从府</w:t>
      </w:r>
      <w:r>
        <w:rPr>
          <w:rFonts w:hint="eastAsia" w:ascii="Times New Roman" w:hAnsi="Times New Roman" w:eastAsia="仿宋_GB2312"/>
          <w:color w:val="000000"/>
          <w:sz w:val="32"/>
          <w:szCs w:val="32"/>
          <w:lang w:val="en-US" w:eastAsia="zh-CN"/>
        </w:rPr>
        <w:t>征预告</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23</w:t>
      </w:r>
      <w:r>
        <w:rPr>
          <w:rFonts w:hint="eastAsia" w:ascii="Times New Roman" w:hAnsi="Times New Roman" w:eastAsia="仿宋_GB2312"/>
          <w:color w:val="000000"/>
          <w:sz w:val="32"/>
          <w:szCs w:val="32"/>
        </w:rPr>
        <w:t>号）发布之日起，任何单位和个人在拟征收范围内通过抢栽抢建等不正当方式增加补偿费用的，包括新建、改建、扩建范围或者其他建筑物、构筑物，种树、种草或者种植其他作物等，对违反规定抢栽抢建部分不予补偿。</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pacing w:line="240" w:lineRule="auto"/>
        <w:ind w:firstLine="0" w:firstLineChars="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p>
    <w:p>
      <w:pPr>
        <w:keepNext w:val="0"/>
        <w:keepLines w:val="0"/>
        <w:pageBreakBefore w:val="0"/>
        <w:widowControl w:val="0"/>
        <w:numPr>
          <w:ilvl w:val="-1"/>
          <w:numId w:val="0"/>
        </w:numPr>
        <w:spacing w:line="240" w:lineRule="auto"/>
        <w:ind w:left="1580" w:leftChars="500" w:firstLine="0" w:firstLineChars="0"/>
        <w:rPr>
          <w:rFonts w:ascii="Times New Roman" w:hAnsi="Times New Roman" w:eastAsia="仿宋_GB2312"/>
          <w:color w:val="000000"/>
          <w:sz w:val="32"/>
          <w:szCs w:val="32"/>
        </w:rPr>
      </w:pPr>
      <w:r>
        <w:rPr>
          <w:rFonts w:hint="eastAsia"/>
          <w:color w:val="000000"/>
          <w:sz w:val="32"/>
          <w:szCs w:val="32"/>
          <w:lang w:val="en-US" w:eastAsia="zh-CN"/>
        </w:rPr>
        <w:t>2.</w:t>
      </w:r>
      <w:r>
        <w:rPr>
          <w:rFonts w:hint="eastAsia" w:ascii="Times New Roman" w:hAnsi="Times New Roman" w:eastAsia="仿宋_GB2312"/>
          <w:color w:val="000000"/>
          <w:sz w:val="32"/>
          <w:szCs w:val="32"/>
          <w:lang w:val="en-US" w:eastAsia="zh-CN"/>
        </w:rPr>
        <w:t>关于广州市从化区2025年度第十四批次城镇建设</w:t>
      </w:r>
    </w:p>
    <w:p>
      <w:pPr>
        <w:keepNext w:val="0"/>
        <w:keepLines w:val="0"/>
        <w:pageBreakBefore w:val="0"/>
        <w:widowControl w:val="0"/>
        <w:numPr>
          <w:ilvl w:val="-1"/>
          <w:numId w:val="0"/>
        </w:numPr>
        <w:spacing w:line="240" w:lineRule="auto"/>
        <w:ind w:left="1580" w:leftChars="500" w:firstLine="0" w:firstLineChars="0"/>
        <w:rPr>
          <w:rFonts w:ascii="Times New Roman" w:hAnsi="Times New Roman" w:eastAsia="仿宋_GB2312"/>
          <w:color w:val="000000"/>
          <w:sz w:val="32"/>
          <w:szCs w:val="32"/>
        </w:rPr>
      </w:pPr>
      <w:r>
        <w:rPr>
          <w:rFonts w:hint="eastAsia"/>
          <w:color w:val="000000"/>
          <w:sz w:val="32"/>
          <w:szCs w:val="32"/>
          <w:lang w:val="en-US" w:eastAsia="zh-CN"/>
        </w:rPr>
        <w:t xml:space="preserve"> </w:t>
      </w:r>
      <w:r>
        <w:rPr>
          <w:rFonts w:hint="eastAsia" w:ascii="Times New Roman" w:hAnsi="Times New Roman" w:eastAsia="仿宋_GB2312"/>
          <w:color w:val="000000"/>
          <w:sz w:val="32"/>
          <w:szCs w:val="32"/>
          <w:lang w:val="en-US" w:eastAsia="zh-CN"/>
        </w:rPr>
        <w:t>用地项目被征地农民养老保障方案</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4" w:name="_Hlk132708289"/>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spacing w:line="240" w:lineRule="auto"/>
        <w:ind w:left="0" w:leftChars="0" w:right="632" w:rightChars="200" w:firstLine="4424" w:firstLineChars="1400"/>
        <w:jc w:val="both"/>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keepNext w:val="0"/>
        <w:keepLines w:val="0"/>
        <w:pageBreakBefore w:val="0"/>
        <w:widowControl w:val="0"/>
        <w:wordWrap w:val="0"/>
        <w:spacing w:line="240" w:lineRule="auto"/>
        <w:ind w:right="632" w:rightChars="200"/>
        <w:jc w:val="right"/>
        <w:rPr>
          <w:rFonts w:eastAsia="仿宋_GB2312"/>
          <w:color w:val="000000"/>
          <w:lang w:val="en-US" w:eastAsia="zh-CN"/>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eastAsia" w:eastAsia="宋体"/>
          <w:color w:val="000000"/>
          <w:sz w:val="32"/>
          <w:szCs w:val="32"/>
          <w:lang w:val="en-US" w:eastAsia="zh-CN"/>
        </w:rPr>
        <w:t>9</w:t>
      </w:r>
      <w:r>
        <w:rPr>
          <w:rFonts w:ascii="Times New Roman" w:hAnsi="Times New Roman" w:eastAsia="仿宋_GB2312"/>
          <w:color w:val="000000"/>
          <w:sz w:val="32"/>
          <w:szCs w:val="32"/>
        </w:rPr>
        <w:t>月</w:t>
      </w:r>
      <w:r>
        <w:rPr>
          <w:rFonts w:hint="eastAsia" w:eastAsia="宋体"/>
          <w:color w:val="000000"/>
          <w:sz w:val="32"/>
          <w:szCs w:val="32"/>
          <w:lang w:val="en-US" w:eastAsia="zh-CN"/>
        </w:rPr>
        <w:t>17</w:t>
      </w:r>
      <w:r>
        <w:rPr>
          <w:rFonts w:ascii="Times New Roman" w:hAnsi="Times New Roman" w:eastAsia="仿宋_GB2312"/>
          <w:color w:val="000000"/>
          <w:sz w:val="32"/>
          <w:szCs w:val="32"/>
        </w:rPr>
        <w:t>日</w:t>
      </w:r>
      <w:bookmarkEnd w:id="4"/>
      <w:r>
        <w:rPr>
          <w:rFonts w:hint="eastAsia" w:ascii="Times New Roman" w:hAnsi="Times New Roman" w:eastAsia="宋体"/>
          <w:color w:val="000000"/>
          <w:sz w:val="32"/>
          <w:szCs w:val="32"/>
          <w:lang w:val="en-US" w:eastAsia="zh-CN"/>
        </w:rPr>
        <w:t xml:space="preserve">     </w:t>
      </w:r>
    </w:p>
    <w:bookmarkEnd w:id="0"/>
    <w:p>
      <w:pPr>
        <w:rPr>
          <w:rFonts w:hint="eastAsia"/>
        </w:rPr>
      </w:pPr>
    </w:p>
    <w:p>
      <w:pPr>
        <w:pBdr>
          <w:top w:val="none" w:color="000000" w:sz="0" w:space="0"/>
          <w:left w:val="none" w:color="000000" w:sz="0" w:space="0"/>
          <w:bottom w:val="none" w:color="000000" w:sz="0" w:space="0"/>
          <w:right w:val="none" w:color="000000" w:sz="0" w:space="0"/>
        </w:pBdr>
        <w:spacing w:after="0"/>
        <w:ind w:left="0" w:right="0" w:firstLine="632" w:firstLineChars="0"/>
        <w:jc w:val="center"/>
        <w:rPr>
          <w:rFonts w:ascii="&quot;Times New Roman&quot;" w:hAnsi="&quot;Times New Roman&quot;" w:eastAsia="&quot;Times New Roman&quot;" w:cs="&quot;Times New Roman&quot;"/>
          <w:sz w:val="32"/>
        </w:rPr>
      </w:pPr>
    </w:p>
    <w:sectPr>
      <w:footerReference r:id="rId4" w:type="default"/>
      <w:pgSz w:w="11906" w:h="16838"/>
      <w:pgMar w:top="1984" w:right="1531" w:bottom="1984" w:left="1531" w:header="0" w:footer="1417" w:gutter="0"/>
      <w:pgNumType w:fmt="decimal"/>
      <w:cols w:space="1701" w:num="1"/>
      <w:docGrid w:type="linesAndChars" w:linePitch="61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1"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KFTZdH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1"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dBnAGywEAAJkDAAAOAAAAAAAAAAEAIAAAAB8BAABkcnMvZTJv&#10;RG9jLnhtbFBLBQYAAAAABgAGAFkBAABcBQAAAAA=&#10;">
              <v:fill on="f" focussize="0,0"/>
              <v:stroke on="f"/>
              <v:imagedata o:title=""/>
              <o:lock v:ext="edit" aspectratio="f"/>
              <v:textbox inset="0mm,0mm,0mm,0mm" style="mso-fit-shape-to-text:t;">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60288;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IpWZ6n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trackRevisions w:val="1"/>
  <w:documentProtection w:edit="trackedChanges"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E0514C"/>
    <w:rsid w:val="21255406"/>
    <w:rsid w:val="23590436"/>
    <w:rsid w:val="26D070BD"/>
    <w:rsid w:val="46BB078C"/>
    <w:rsid w:val="5E726153"/>
    <w:rsid w:val="69C52BF7"/>
    <w:rsid w:val="6D392A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5"/>
    <w:qFormat/>
    <w:uiPriority w:val="11"/>
    <w:pPr>
      <w:overflowPunct w:val="0"/>
      <w:autoSpaceDE w:val="0"/>
      <w:autoSpaceDN w:val="0"/>
      <w:spacing w:before="200" w:after="200"/>
    </w:pPr>
    <w:rPr>
      <w:sz w:val="24"/>
      <w:szCs w:val="24"/>
    </w:rPr>
  </w:style>
  <w:style w:type="paragraph" w:styleId="21">
    <w:name w:val="footnote text"/>
    <w:basedOn w:val="1"/>
    <w:link w:val="178"/>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4"/>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3">
    <w:name w:val="Heading 1 Char"/>
    <w:basedOn w:val="29"/>
    <w:link w:val="2"/>
    <w:qFormat/>
    <w:uiPriority w:val="9"/>
    <w:rPr>
      <w:rFonts w:ascii="Arial" w:hAnsi="Arial" w:eastAsia="Arial" w:cs="Arial"/>
      <w:sz w:val="40"/>
      <w:szCs w:val="40"/>
    </w:rPr>
  </w:style>
  <w:style w:type="character" w:customStyle="1" w:styleId="34">
    <w:name w:val="Heading 2 Char"/>
    <w:basedOn w:val="29"/>
    <w:link w:val="3"/>
    <w:qFormat/>
    <w:uiPriority w:val="9"/>
    <w:rPr>
      <w:rFonts w:ascii="Arial" w:hAnsi="Arial" w:eastAsia="Arial" w:cs="Arial"/>
      <w:sz w:val="34"/>
    </w:rPr>
  </w:style>
  <w:style w:type="character" w:customStyle="1" w:styleId="35">
    <w:name w:val="Heading 3 Char"/>
    <w:basedOn w:val="29"/>
    <w:link w:val="4"/>
    <w:qFormat/>
    <w:uiPriority w:val="9"/>
    <w:rPr>
      <w:rFonts w:ascii="Arial" w:hAnsi="Arial" w:eastAsia="Arial" w:cs="Arial"/>
      <w:sz w:val="30"/>
      <w:szCs w:val="30"/>
    </w:rPr>
  </w:style>
  <w:style w:type="character" w:customStyle="1" w:styleId="36">
    <w:name w:val="Heading 4 Char"/>
    <w:basedOn w:val="29"/>
    <w:link w:val="5"/>
    <w:qFormat/>
    <w:uiPriority w:val="9"/>
    <w:rPr>
      <w:rFonts w:ascii="Arial" w:hAnsi="Arial" w:eastAsia="Arial" w:cs="Arial"/>
      <w:b/>
      <w:bCs/>
      <w:sz w:val="26"/>
      <w:szCs w:val="26"/>
    </w:rPr>
  </w:style>
  <w:style w:type="character" w:customStyle="1" w:styleId="37">
    <w:name w:val="Heading 5 Char"/>
    <w:basedOn w:val="29"/>
    <w:link w:val="6"/>
    <w:qFormat/>
    <w:uiPriority w:val="9"/>
    <w:rPr>
      <w:rFonts w:ascii="Arial" w:hAnsi="Arial" w:eastAsia="Arial" w:cs="Arial"/>
      <w:b/>
      <w:bCs/>
      <w:sz w:val="24"/>
      <w:szCs w:val="24"/>
    </w:rPr>
  </w:style>
  <w:style w:type="character" w:customStyle="1" w:styleId="38">
    <w:name w:val="Heading 6 Char"/>
    <w:basedOn w:val="29"/>
    <w:link w:val="7"/>
    <w:qFormat/>
    <w:uiPriority w:val="9"/>
    <w:rPr>
      <w:rFonts w:ascii="Arial" w:hAnsi="Arial" w:eastAsia="Arial" w:cs="Arial"/>
      <w:b/>
      <w:bCs/>
      <w:sz w:val="22"/>
      <w:szCs w:val="22"/>
    </w:rPr>
  </w:style>
  <w:style w:type="character" w:customStyle="1" w:styleId="39">
    <w:name w:val="Heading 7 Char"/>
    <w:basedOn w:val="29"/>
    <w:link w:val="8"/>
    <w:qFormat/>
    <w:uiPriority w:val="9"/>
    <w:rPr>
      <w:rFonts w:ascii="Arial" w:hAnsi="Arial" w:eastAsia="Arial" w:cs="Arial"/>
      <w:b/>
      <w:bCs/>
      <w:i/>
      <w:iCs/>
      <w:sz w:val="22"/>
      <w:szCs w:val="22"/>
    </w:rPr>
  </w:style>
  <w:style w:type="character" w:customStyle="1" w:styleId="40">
    <w:name w:val="Heading 8 Char"/>
    <w:basedOn w:val="29"/>
    <w:link w:val="9"/>
    <w:qFormat/>
    <w:uiPriority w:val="9"/>
    <w:rPr>
      <w:rFonts w:ascii="Arial" w:hAnsi="Arial" w:eastAsia="Arial" w:cs="Arial"/>
      <w:i/>
      <w:iCs/>
      <w:sz w:val="22"/>
      <w:szCs w:val="22"/>
    </w:rPr>
  </w:style>
  <w:style w:type="character" w:customStyle="1" w:styleId="41">
    <w:name w:val="Heading 9 Char"/>
    <w:basedOn w:val="29"/>
    <w:link w:val="10"/>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4">
    <w:name w:val="Title Char"/>
    <w:basedOn w:val="29"/>
    <w:link w:val="26"/>
    <w:qFormat/>
    <w:uiPriority w:val="10"/>
    <w:rPr>
      <w:sz w:val="48"/>
      <w:szCs w:val="48"/>
    </w:rPr>
  </w:style>
  <w:style w:type="character" w:customStyle="1" w:styleId="45">
    <w:name w:val="Subtitle Char"/>
    <w:basedOn w:val="29"/>
    <w:link w:val="20"/>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29"/>
    <w:link w:val="17"/>
    <w:qFormat/>
    <w:uiPriority w:val="99"/>
  </w:style>
  <w:style w:type="character" w:customStyle="1" w:styleId="51">
    <w:name w:val="Footer Char"/>
    <w:basedOn w:val="29"/>
    <w:link w:val="16"/>
    <w:qFormat/>
    <w:uiPriority w:val="99"/>
  </w:style>
  <w:style w:type="character" w:customStyle="1" w:styleId="52">
    <w:name w:val="Caption Char"/>
    <w:link w:val="16"/>
    <w:qFormat/>
    <w:uiPriority w:val="99"/>
  </w:style>
  <w:style w:type="table" w:customStyle="1" w:styleId="53">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1"/>
    <w:qFormat/>
    <w:uiPriority w:val="99"/>
    <w:rPr>
      <w:sz w:val="18"/>
    </w:rPr>
  </w:style>
  <w:style w:type="paragraph" w:customStyle="1" w:styleId="179">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0">
    <w:name w:val="标题 11"/>
    <w:basedOn w:val="1"/>
    <w:next w:val="1"/>
    <w:qFormat/>
    <w:uiPriority w:val="0"/>
    <w:pPr>
      <w:keepNext/>
      <w:jc w:val="center"/>
      <w:outlineLvl w:val="0"/>
    </w:pPr>
    <w:rPr>
      <w:sz w:val="32"/>
    </w:rPr>
  </w:style>
  <w:style w:type="character" w:customStyle="1" w:styleId="181">
    <w:name w:val="默认段落字体1"/>
    <w:link w:val="182"/>
    <w:semiHidden/>
    <w:qFormat/>
    <w:uiPriority w:val="0"/>
  </w:style>
  <w:style w:type="paragraph" w:customStyle="1" w:styleId="182">
    <w:name w:val=" Char Char Char Char Char Char1 Char"/>
    <w:basedOn w:val="1"/>
    <w:link w:val="18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3">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正文文本1"/>
    <w:basedOn w:val="1"/>
    <w:qFormat/>
    <w:uiPriority w:val="0"/>
    <w:rPr>
      <w:rFonts w:ascii="仿宋_GB2312" w:eastAsia="仿宋_GB2312"/>
      <w:sz w:val="30"/>
    </w:rPr>
  </w:style>
  <w:style w:type="paragraph" w:customStyle="1" w:styleId="185">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6">
    <w:name w:val="日期1"/>
    <w:basedOn w:val="1"/>
    <w:next w:val="1"/>
    <w:qFormat/>
    <w:uiPriority w:val="0"/>
    <w:pPr>
      <w:ind w:left="100" w:leftChars="2500"/>
    </w:pPr>
    <w:rPr>
      <w:rFonts w:eastAsia="仿宋_GB2312"/>
      <w:w w:val="99"/>
      <w:sz w:val="32"/>
    </w:rPr>
  </w:style>
  <w:style w:type="paragraph" w:customStyle="1" w:styleId="187">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8">
    <w:name w:val="页脚1"/>
    <w:basedOn w:val="1"/>
    <w:qFormat/>
    <w:uiPriority w:val="0"/>
    <w:pPr>
      <w:tabs>
        <w:tab w:val="center" w:pos="4153"/>
        <w:tab w:val="right" w:pos="8306"/>
      </w:tabs>
      <w:snapToGrid w:val="0"/>
      <w:jc w:val="left"/>
    </w:pPr>
    <w:rPr>
      <w:sz w:val="18"/>
      <w:szCs w:val="18"/>
    </w:rPr>
  </w:style>
  <w:style w:type="paragraph" w:customStyle="1" w:styleId="189">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90">
    <w:name w:val="正文文本缩进 31"/>
    <w:basedOn w:val="1"/>
    <w:qFormat/>
    <w:uiPriority w:val="0"/>
    <w:pPr>
      <w:ind w:firstLine="640" w:firstLineChars="200"/>
    </w:pPr>
    <w:rPr>
      <w:sz w:val="32"/>
    </w:rPr>
  </w:style>
  <w:style w:type="paragraph" w:customStyle="1" w:styleId="191">
    <w:name w:val="正文文本 21"/>
    <w:basedOn w:val="1"/>
    <w:qFormat/>
    <w:uiPriority w:val="0"/>
    <w:pPr>
      <w:jc w:val="center"/>
    </w:pPr>
    <w:rPr>
      <w:rFonts w:ascii="方正小标宋简体" w:eastAsia="方正小标宋简体"/>
      <w:sz w:val="72"/>
    </w:rPr>
  </w:style>
  <w:style w:type="paragraph" w:customStyle="1" w:styleId="192">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3">
    <w:name w:val="网格型1"/>
    <w:basedOn w:val="183"/>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4">
    <w:name w:val="页码1"/>
    <w:basedOn w:val="181"/>
    <w:link w:val="1"/>
    <w:qFormat/>
    <w:uiPriority w:val="0"/>
  </w:style>
  <w:style w:type="character" w:customStyle="1" w:styleId="195">
    <w:name w:val="line1"/>
    <w:basedOn w:val="181"/>
    <w:link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TotalTime>0</TotalTime>
  <ScaleCrop>false</ScaleCrop>
  <LinksUpToDate>false</LinksUpToDate>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2025-09-18T07:17:00Z</dcterms:created>
  <dc:creator>guest</dc:creator>
  <cp:lastModifiedBy>NTKO</cp:lastModifiedBy>
  <dcterms:modified xsi:type="dcterms:W3CDTF">2026-01-08T06:54:54Z</dcterms:modified>
  <dc:title>_x0001_</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40E8CCC7E95A4E6DA1EDBD8EA9687E78</vt:lpwstr>
  </property>
</Properties>
</file>