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94602">
      <w:pPr>
        <w:spacing w:line="600" w:lineRule="exact"/>
        <w:jc w:val="center"/>
        <w:rPr>
          <w:rFonts w:ascii="方正小标宋简体" w:hAnsi="方正小标宋简体" w:eastAsia="方正小标宋简体" w:cs="方正小标宋简体"/>
          <w:kern w:val="2"/>
          <w:sz w:val="44"/>
          <w:szCs w:val="44"/>
          <w:lang w:eastAsia="zh-CN"/>
        </w:rPr>
      </w:pPr>
    </w:p>
    <w:p w14:paraId="7B8E8ACE">
      <w:pPr>
        <w:spacing w:line="600" w:lineRule="exact"/>
        <w:jc w:val="center"/>
        <w:rPr>
          <w:rFonts w:ascii="方正小标宋简体" w:hAnsi="方正小标宋简体" w:eastAsia="方正小标宋简体" w:cs="方正小标宋简体"/>
          <w:kern w:val="2"/>
          <w:sz w:val="44"/>
          <w:szCs w:val="44"/>
          <w:lang w:eastAsia="zh-CN"/>
        </w:rPr>
      </w:pPr>
    </w:p>
    <w:p w14:paraId="09AE3D37">
      <w:pPr>
        <w:spacing w:line="600" w:lineRule="exact"/>
        <w:jc w:val="center"/>
        <w:rPr>
          <w:rFonts w:ascii="方正小标宋简体" w:hAnsi="方正小标宋简体" w:eastAsia="方正小标宋简体" w:cs="方正小标宋简体"/>
          <w:kern w:val="2"/>
          <w:sz w:val="44"/>
          <w:szCs w:val="44"/>
          <w:lang w:eastAsia="zh-CN"/>
        </w:rPr>
      </w:pPr>
    </w:p>
    <w:p w14:paraId="18DD901D">
      <w:pPr>
        <w:spacing w:line="600" w:lineRule="exact"/>
        <w:jc w:val="center"/>
        <w:rPr>
          <w:rFonts w:ascii="方正小标宋简体" w:hAnsi="方正小标宋简体" w:eastAsia="方正小标宋简体" w:cs="方正小标宋简体"/>
          <w:kern w:val="2"/>
          <w:sz w:val="44"/>
          <w:szCs w:val="44"/>
          <w:lang w:eastAsia="zh-CN"/>
        </w:rPr>
      </w:pPr>
      <w:r>
        <w:rPr>
          <w:rFonts w:hint="eastAsia" w:ascii="方正小标宋简体" w:hAnsi="方正小标宋简体" w:eastAsia="方正小标宋简体" w:cs="方正小标宋简体"/>
          <w:kern w:val="2"/>
          <w:sz w:val="44"/>
          <w:szCs w:val="44"/>
          <w:lang w:eastAsia="zh-CN"/>
        </w:rPr>
        <w:t>关于清远清新至广州花都高速公路项目（广州段）新增用地的征地补偿安置方案</w:t>
      </w:r>
    </w:p>
    <w:p w14:paraId="414D5F97">
      <w:pPr>
        <w:spacing w:line="600" w:lineRule="exact"/>
        <w:rPr>
          <w:rFonts w:ascii="Adobe 黑体 Std R" w:hAnsi="Adobe 黑体 Std R" w:eastAsia="Adobe 黑体 Std R" w:cs="Adobe 黑体 Std R"/>
          <w:kern w:val="2"/>
          <w:sz w:val="34"/>
          <w:szCs w:val="34"/>
          <w:lang w:eastAsia="zh-CN"/>
        </w:rPr>
      </w:pPr>
    </w:p>
    <w:p w14:paraId="3EC6F5F7">
      <w:pPr>
        <w:pStyle w:val="6"/>
        <w:spacing w:before="0" w:line="560" w:lineRule="exact"/>
        <w:ind w:left="0" w:firstLine="634" w:firstLineChars="200"/>
        <w:jc w:val="both"/>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为实施广州市花都区赤坭镇、炭步镇建设规划，完善城市功能，改善城市环境，促进经济、文化发展，广州市花都区人民政府拟征收广州市花都区赤坭镇白石第七经济合作社、白石第八经济合作社、白石第九经济合作社（共有），缠岗第一经济合作社、缠岗第三经济合作社、缠岗第五经济合作社、缠岗第七经济合作社（共有），缠岗经济联合社，荷溪第八经济合作社，黄沙塘经济联合社，连珠第二经济合作社，连珠第三经济合作社、连珠第六经济合作社（共有），连珠经济联合社，瑞岭经济联合社属下的集体土地</w:t>
      </w:r>
      <w:r>
        <w:rPr>
          <w:rFonts w:ascii="Times New Roman" w:hAnsi="Times New Roman" w:eastAsia="仿宋_GB2312" w:cs="Times New Roman"/>
          <w:kern w:val="2"/>
          <w:lang w:eastAsia="zh-CN"/>
        </w:rPr>
        <w:t>6.5643公顷</w:t>
      </w:r>
      <w:r>
        <w:rPr>
          <w:rFonts w:hint="eastAsia" w:ascii="Times New Roman" w:hAnsi="Times New Roman" w:eastAsia="仿宋_GB2312" w:cs="Times New Roman"/>
          <w:kern w:val="2"/>
          <w:lang w:eastAsia="zh-CN"/>
        </w:rPr>
        <w:t>，</w:t>
      </w:r>
      <w:r>
        <w:rPr>
          <w:rFonts w:hint="eastAsia" w:ascii="仿宋_GB2312" w:hAnsi="仿宋_GB2312" w:eastAsia="仿宋_GB2312" w:cs="仿宋_GB2312"/>
          <w:kern w:val="2"/>
          <w:lang w:eastAsia="zh-CN"/>
        </w:rPr>
        <w:t>炭步镇茶塘第八经济合作社，平岭头经济联合社，石湖山第一经济合作社、石湖山第九经济合作社（共有），石湖山经济联合社，水口村经济联合社，新太第一经济合作社属下的集体土地</w:t>
      </w:r>
      <w:r>
        <w:rPr>
          <w:rFonts w:ascii="Times New Roman" w:hAnsi="Times New Roman" w:eastAsia="仿宋_GB2312" w:cs="Times New Roman"/>
          <w:kern w:val="2"/>
          <w:lang w:eastAsia="zh-CN"/>
        </w:rPr>
        <w:t>2.7237公顷</w:t>
      </w:r>
      <w:r>
        <w:rPr>
          <w:rFonts w:hint="eastAsia" w:ascii="Times New Roman" w:hAnsi="Times New Roman" w:eastAsia="仿宋_GB2312" w:cs="Times New Roman"/>
          <w:kern w:val="2"/>
          <w:lang w:eastAsia="zh-CN"/>
        </w:rPr>
        <w:t>，面积合计</w:t>
      </w:r>
      <w:r>
        <w:rPr>
          <w:rFonts w:ascii="Times New Roman" w:hAnsi="Times New Roman" w:eastAsia="仿宋_GB2312" w:cs="Times New Roman"/>
          <w:kern w:val="2"/>
          <w:lang w:eastAsia="zh-CN"/>
        </w:rPr>
        <w:t>9.2880</w:t>
      </w:r>
      <w:r>
        <w:rPr>
          <w:rFonts w:hint="eastAsia" w:ascii="Times New Roman" w:hAnsi="Times New Roman" w:eastAsia="仿宋_GB2312" w:cs="Times New Roman"/>
          <w:kern w:val="2"/>
          <w:lang w:eastAsia="zh-CN"/>
        </w:rPr>
        <w:t>公顷。</w:t>
      </w:r>
      <w:r>
        <w:rPr>
          <w:rFonts w:hint="eastAsia" w:ascii="仿宋_GB2312" w:hAnsi="仿宋_GB2312" w:eastAsia="仿宋_GB2312" w:cs="仿宋_GB2312"/>
          <w:kern w:val="2"/>
          <w:lang w:eastAsia="zh-CN"/>
        </w:rPr>
        <w:t>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16C37129">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一、征收范围</w:t>
      </w:r>
    </w:p>
    <w:p w14:paraId="73B8C995">
      <w:pPr>
        <w:spacing w:line="560" w:lineRule="exact"/>
        <w:ind w:firstLine="634" w:firstLineChars="200"/>
        <w:jc w:val="both"/>
        <w:rPr>
          <w:rFonts w:cs="Times New Roman"/>
          <w:kern w:val="2"/>
          <w:lang w:eastAsia="zh-CN"/>
        </w:rPr>
      </w:pPr>
      <w:r>
        <w:rPr>
          <w:rFonts w:cs="Times New Roman"/>
          <w:kern w:val="2"/>
          <w:lang w:eastAsia="zh-CN"/>
        </w:rPr>
        <w:t>拟征收土地位于</w:t>
      </w:r>
      <w:r>
        <w:rPr>
          <w:lang w:eastAsia="zh-CN"/>
        </w:rPr>
        <w:t>广州市花都区</w:t>
      </w:r>
      <w:r>
        <w:rPr>
          <w:rFonts w:hint="eastAsia"/>
          <w:lang w:eastAsia="zh-CN"/>
        </w:rPr>
        <w:t>赤坭镇</w:t>
      </w:r>
      <w:r>
        <w:rPr>
          <w:rFonts w:hint="eastAsia"/>
          <w:spacing w:val="6"/>
          <w:lang w:eastAsia="zh-CN"/>
        </w:rPr>
        <w:t>白石第七经济合作社、白石第八经济合作社、白石第九经济合作社（共有），缠岗第一经济合作社、缠岗第三经济合作社、缠岗第五经济合作社、缠岗第七经济合作社（共有），缠岗经济联合社，荷溪第八经济合作社，黄沙塘经济联合社，连珠第二经济合作社，连珠第三经济合作社、连珠第六经济合作社（共有），连珠经济联合社，瑞岭经济联合社，炭步镇茶塘第八经济合作社，平岭头经济联合社，石湖山第一经济合作社、石湖山第九经济合作社（共有），石湖山经济联合社，水口村经济联合社，新太第一经济合作社</w:t>
      </w:r>
      <w:r>
        <w:rPr>
          <w:rFonts w:cs="Times New Roman"/>
          <w:kern w:val="2"/>
          <w:lang w:eastAsia="zh-CN"/>
        </w:rPr>
        <w:t>范围内，具体位置详见附图。</w:t>
      </w:r>
    </w:p>
    <w:p w14:paraId="019FE3ED">
      <w:pPr>
        <w:pStyle w:val="6"/>
        <w:spacing w:before="0" w:line="560" w:lineRule="exact"/>
        <w:ind w:left="0" w:firstLine="634" w:firstLineChars="200"/>
        <w:jc w:val="both"/>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实际征收土地范围以最终批准文件为准。</w:t>
      </w:r>
    </w:p>
    <w:p w14:paraId="1A73F925">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二、征收目的</w:t>
      </w:r>
    </w:p>
    <w:p w14:paraId="0E3D636D">
      <w:pPr>
        <w:spacing w:line="560" w:lineRule="exact"/>
        <w:ind w:firstLine="634" w:firstLineChars="200"/>
        <w:jc w:val="both"/>
        <w:rPr>
          <w:rFonts w:cs="Times New Roman"/>
          <w:kern w:val="2"/>
          <w:lang w:eastAsia="zh-CN"/>
        </w:rPr>
      </w:pPr>
      <w:r>
        <w:rPr>
          <w:rFonts w:cs="Times New Roman"/>
          <w:kern w:val="2"/>
          <w:lang w:eastAsia="zh-CN"/>
        </w:rPr>
        <w:t>根据《中华人民共和国土地管理法》第四十五条的规定，本次征收土地目的为</w:t>
      </w:r>
      <w:r>
        <w:rPr>
          <w:rFonts w:cs="Times New Roman"/>
          <w:kern w:val="2"/>
          <w:lang w:eastAsia="zh-CN" w:bidi="ar"/>
        </w:rPr>
        <w:t>由政府组织实施的能源、交通、水利、通信、邮政等基础设施建设需要用地的</w:t>
      </w:r>
      <w:r>
        <w:rPr>
          <w:rFonts w:hint="eastAsia" w:cs="Times New Roman"/>
          <w:kern w:val="2"/>
          <w:lang w:eastAsia="zh-CN"/>
        </w:rPr>
        <w:t>。</w:t>
      </w:r>
    </w:p>
    <w:p w14:paraId="31A0F0EE">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三、土地现状</w:t>
      </w:r>
    </w:p>
    <w:p w14:paraId="02A18F12">
      <w:pPr>
        <w:spacing w:line="560" w:lineRule="exact"/>
        <w:ind w:firstLine="634" w:firstLineChars="200"/>
        <w:jc w:val="both"/>
        <w:rPr>
          <w:rFonts w:cs="Times New Roman"/>
          <w:kern w:val="2"/>
          <w:lang w:eastAsia="zh-CN"/>
        </w:rPr>
      </w:pPr>
      <w:r>
        <w:rPr>
          <w:rFonts w:cs="Times New Roman"/>
          <w:kern w:val="2"/>
          <w:lang w:eastAsia="zh-CN"/>
        </w:rPr>
        <w:t>根据拟征收土地现状调查结果，拟征收土地现状为：</w:t>
      </w:r>
    </w:p>
    <w:p w14:paraId="0C32D015">
      <w:pPr>
        <w:spacing w:line="560" w:lineRule="exact"/>
        <w:ind w:firstLine="634" w:firstLineChars="200"/>
        <w:jc w:val="both"/>
        <w:rPr>
          <w:rFonts w:cs="Times New Roman"/>
          <w:kern w:val="2"/>
          <w:lang w:eastAsia="zh-CN"/>
        </w:rPr>
      </w:pPr>
      <w:r>
        <w:rPr>
          <w:rFonts w:hint="eastAsia" w:cs="Times New Roman"/>
          <w:kern w:val="2"/>
          <w:lang w:eastAsia="zh-CN"/>
        </w:rPr>
        <w:t>（一）拟征收广州市花都区赤坭镇白石第七经济合作社、白石第八经济合作社、白石第九经济合作社（共有）属下的集体所有土地0.0309公顷（0.4635亩）。其中，农用地0.0309公顷（0.4635亩），含耕地0.0251公顷（0.3765亩）；不涉及建设用地，不涉及未利用地。</w:t>
      </w:r>
    </w:p>
    <w:p w14:paraId="13D28AA5">
      <w:pPr>
        <w:spacing w:line="560" w:lineRule="exact"/>
        <w:ind w:firstLine="634" w:firstLineChars="200"/>
        <w:jc w:val="both"/>
        <w:rPr>
          <w:rFonts w:cs="Times New Roman"/>
          <w:kern w:val="2"/>
          <w:lang w:eastAsia="zh-CN"/>
        </w:rPr>
      </w:pPr>
      <w:r>
        <w:rPr>
          <w:rFonts w:hint="eastAsia" w:cs="Times New Roman"/>
          <w:kern w:val="2"/>
          <w:lang w:eastAsia="zh-CN"/>
        </w:rPr>
        <w:t>（二）拟征收广州市花都区赤坭镇缠岗第一经济合作社、缠岗第三经济合作社、缠岗第五经济合作社、缠岗第七经济合作社（共有），缠岗经济联合社属下的集体所有土地5.5861公顷（83.7915亩）。其中，农用地1.8212公顷（27.3180亩），不涉及耕地；建设用地2.0118公顷（30.1770亩），未利用地1.7531公顷（26.2965亩）。</w:t>
      </w:r>
    </w:p>
    <w:p w14:paraId="26764A0C">
      <w:pPr>
        <w:spacing w:line="560" w:lineRule="exact"/>
        <w:ind w:firstLine="634" w:firstLineChars="200"/>
        <w:jc w:val="both"/>
        <w:rPr>
          <w:rFonts w:cs="Times New Roman"/>
          <w:kern w:val="2"/>
          <w:lang w:eastAsia="zh-CN"/>
        </w:rPr>
      </w:pPr>
      <w:r>
        <w:rPr>
          <w:rFonts w:hint="eastAsia" w:cs="Times New Roman"/>
          <w:kern w:val="2"/>
          <w:lang w:eastAsia="zh-CN"/>
        </w:rPr>
        <w:t>（三）拟征收广州市花都区赤坭镇荷溪第八经济合作社属下的集体所有土地0.1566公顷（2.3490亩）。其中，农用地0.1566公顷（2.3490亩），不涉及耕地；不涉及建设用地，不涉及未利用地。</w:t>
      </w:r>
    </w:p>
    <w:p w14:paraId="6E33F5B0">
      <w:pPr>
        <w:spacing w:line="560" w:lineRule="exact"/>
        <w:ind w:firstLine="634" w:firstLineChars="200"/>
        <w:jc w:val="both"/>
        <w:rPr>
          <w:rFonts w:cs="Times New Roman"/>
          <w:kern w:val="2"/>
          <w:lang w:eastAsia="zh-CN"/>
        </w:rPr>
      </w:pPr>
      <w:r>
        <w:rPr>
          <w:rFonts w:hint="eastAsia" w:cs="Times New Roman"/>
          <w:kern w:val="2"/>
          <w:lang w:eastAsia="zh-CN"/>
        </w:rPr>
        <w:t>（四）拟征收广州市花都区赤坭镇黄沙塘经济联合社属下的集体所有土地0.3322公顷（4.9830亩）。其中，农用地0.2125公顷（3.1875亩），不涉及耕地；建设用地0.1197公顷（1.7955亩），不涉及未利用地。</w:t>
      </w:r>
    </w:p>
    <w:p w14:paraId="39CD64C9">
      <w:pPr>
        <w:spacing w:line="560" w:lineRule="exact"/>
        <w:ind w:firstLine="634" w:firstLineChars="200"/>
        <w:jc w:val="both"/>
        <w:rPr>
          <w:rFonts w:cs="Times New Roman"/>
          <w:kern w:val="2"/>
          <w:lang w:eastAsia="zh-CN"/>
        </w:rPr>
      </w:pPr>
      <w:r>
        <w:rPr>
          <w:rFonts w:hint="eastAsia" w:cs="Times New Roman"/>
          <w:kern w:val="2"/>
          <w:lang w:eastAsia="zh-CN"/>
        </w:rPr>
        <w:t>（五）拟征收广州市花都区赤坭镇连珠第二经济合作社，连珠第三经济合作社、连珠第六经济合作社（共有），连珠经济联合社的集体所有土地0.1128公顷（1.6920亩）。其中，农用地0.1127公顷（1.6905亩），含耕地0.0244公顷（0.3660亩）；建设用地0.0001公顷（0.0015亩），不涉及未利用地。</w:t>
      </w:r>
    </w:p>
    <w:p w14:paraId="52B70391">
      <w:pPr>
        <w:spacing w:line="560" w:lineRule="exact"/>
        <w:ind w:firstLine="634" w:firstLineChars="200"/>
        <w:jc w:val="both"/>
        <w:rPr>
          <w:rFonts w:cs="Times New Roman"/>
          <w:kern w:val="2"/>
          <w:lang w:eastAsia="zh-CN"/>
        </w:rPr>
      </w:pPr>
      <w:r>
        <w:rPr>
          <w:rFonts w:hint="eastAsia" w:cs="Times New Roman"/>
          <w:kern w:val="2"/>
          <w:lang w:eastAsia="zh-CN"/>
        </w:rPr>
        <w:t>（六）拟征收广州市花都区赤坭镇瑞岭经济联合社属下的集体所有土地0.3457公顷（5.1855亩）。其中，农用地0.3364公顷（5.0460亩），不涉及耕地；建设用地0.0093公顷（0.1395亩），不涉及未利用地。</w:t>
      </w:r>
    </w:p>
    <w:p w14:paraId="7FC20230">
      <w:pPr>
        <w:spacing w:line="560" w:lineRule="exact"/>
        <w:ind w:firstLine="634" w:firstLineChars="200"/>
        <w:jc w:val="both"/>
        <w:rPr>
          <w:rFonts w:cs="Times New Roman"/>
          <w:kern w:val="2"/>
          <w:lang w:eastAsia="zh-CN"/>
        </w:rPr>
      </w:pPr>
      <w:r>
        <w:rPr>
          <w:rFonts w:hint="eastAsia" w:cs="Times New Roman"/>
          <w:kern w:val="2"/>
          <w:lang w:eastAsia="zh-CN"/>
        </w:rPr>
        <w:t>（七）拟征收广州市花都区炭步镇茶塘第八经济合作社属下的集体所有土地0.0362公顷（0.5430亩）。其中，农用地0.0323公顷（0.4845亩），不涉及耕地；建设用地0.0039公顷（0.0585亩），不涉及未利用地。</w:t>
      </w:r>
    </w:p>
    <w:p w14:paraId="7E839170">
      <w:pPr>
        <w:spacing w:line="560" w:lineRule="exact"/>
        <w:ind w:firstLine="634" w:firstLineChars="200"/>
        <w:jc w:val="both"/>
        <w:rPr>
          <w:rFonts w:cs="Times New Roman"/>
          <w:kern w:val="2"/>
          <w:lang w:eastAsia="zh-CN"/>
        </w:rPr>
      </w:pPr>
      <w:r>
        <w:rPr>
          <w:rFonts w:hint="eastAsia" w:cs="Times New Roman"/>
          <w:kern w:val="2"/>
          <w:lang w:eastAsia="zh-CN"/>
        </w:rPr>
        <w:t>（八）拟征收广州市花都区炭步镇平岭头经济联合社属下的集体所有土地1.3010公顷（19.5150亩）。其中，农用地0.0965公顷（1.4475亩），不涉及耕地；建设用地1.2045公顷（18.0675亩），不涉及未利用地。</w:t>
      </w:r>
    </w:p>
    <w:p w14:paraId="2914B81E">
      <w:pPr>
        <w:spacing w:line="560" w:lineRule="exact"/>
        <w:ind w:firstLine="634" w:firstLineChars="200"/>
        <w:jc w:val="both"/>
        <w:rPr>
          <w:rFonts w:cs="Times New Roman"/>
          <w:kern w:val="2"/>
          <w:lang w:eastAsia="zh-CN"/>
        </w:rPr>
      </w:pPr>
      <w:r>
        <w:rPr>
          <w:rFonts w:hint="eastAsia" w:cs="Times New Roman"/>
          <w:kern w:val="2"/>
          <w:lang w:eastAsia="zh-CN"/>
        </w:rPr>
        <w:t>（九）拟征收广州市花都区炭步镇石湖山第一经济合作社、石湖山第九经济合作社（共有），石湖山经济联合社属下的集体所有土地0.0732公顷（1.0980亩）。其中，农用地0.0718公顷（1.0770亩），不涉及耕地；建设用地0.0014公顷（0.0210亩），不涉及未利用地。</w:t>
      </w:r>
    </w:p>
    <w:p w14:paraId="47922331">
      <w:pPr>
        <w:spacing w:line="560" w:lineRule="exact"/>
        <w:ind w:firstLine="634" w:firstLineChars="200"/>
        <w:jc w:val="both"/>
        <w:rPr>
          <w:rFonts w:cs="Times New Roman"/>
          <w:kern w:val="2"/>
          <w:lang w:eastAsia="zh-CN"/>
        </w:rPr>
      </w:pPr>
      <w:r>
        <w:rPr>
          <w:rFonts w:hint="eastAsia" w:cs="Times New Roman"/>
          <w:kern w:val="2"/>
          <w:lang w:eastAsia="zh-CN"/>
        </w:rPr>
        <w:t>（十）拟征收广州市花都区炭步镇水口村经济联合社属下的集体所有土地1.2500公顷（18.7500亩）。其中，农用地0.8214公顷（12.3210亩），不涉及耕地；建设用地0.4286公顷（6.4290亩），不涉及未利用地。</w:t>
      </w:r>
    </w:p>
    <w:p w14:paraId="7751D9ED">
      <w:pPr>
        <w:spacing w:line="560" w:lineRule="exact"/>
        <w:ind w:firstLine="634" w:firstLineChars="200"/>
        <w:jc w:val="both"/>
        <w:rPr>
          <w:kern w:val="2"/>
          <w:lang w:eastAsia="zh-CN"/>
        </w:rPr>
      </w:pPr>
      <w:r>
        <w:rPr>
          <w:rFonts w:hint="eastAsia" w:cs="Times New Roman"/>
          <w:kern w:val="2"/>
          <w:lang w:eastAsia="zh-CN"/>
        </w:rPr>
        <w:t>（十一）拟征收广州市花都区炭步镇新太第一经济合作社属下的集体所有土地0.0633公顷（0.9495亩）。其中，农用地0.0633公顷（0.9495亩），不涉及耕地；不涉及建设用地，不涉及未利用地</w:t>
      </w:r>
      <w:r>
        <w:rPr>
          <w:rFonts w:cs="Times New Roman"/>
          <w:kern w:val="2"/>
          <w:lang w:eastAsia="zh-CN"/>
        </w:rPr>
        <w:t>。</w:t>
      </w:r>
    </w:p>
    <w:p w14:paraId="5A6A1BB2">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四、补偿方式和标准</w:t>
      </w:r>
    </w:p>
    <w:p w14:paraId="49EFE116">
      <w:pPr>
        <w:spacing w:line="560" w:lineRule="exact"/>
        <w:ind w:firstLine="634" w:firstLineChars="200"/>
        <w:jc w:val="both"/>
        <w:rPr>
          <w:rFonts w:eastAsia="楷体" w:cs="Times New Roman"/>
          <w:lang w:eastAsia="zh-CN"/>
        </w:rPr>
      </w:pPr>
      <w:r>
        <w:rPr>
          <w:rFonts w:eastAsia="楷体" w:cs="Times New Roman"/>
          <w:lang w:eastAsia="zh-CN"/>
        </w:rPr>
        <w:t>（一）土地补偿费和安置补助费标准。</w:t>
      </w:r>
    </w:p>
    <w:p w14:paraId="45BF82F1">
      <w:pPr>
        <w:spacing w:line="560" w:lineRule="exact"/>
        <w:ind w:firstLine="634" w:firstLineChars="200"/>
        <w:jc w:val="both"/>
        <w:rPr>
          <w:rFonts w:cs="Times New Roman"/>
          <w:kern w:val="2"/>
          <w:lang w:eastAsia="zh-CN"/>
        </w:rPr>
      </w:pPr>
      <w:r>
        <w:rPr>
          <w:rFonts w:cs="Times New Roman"/>
          <w:kern w:val="2"/>
          <w:lang w:eastAsia="zh-CN"/>
        </w:rPr>
        <w:t>根据《中华人民共和国土地管理法》《广东省土地管理条例》等规定，并结合《</w:t>
      </w:r>
      <w:r>
        <w:rPr>
          <w:rFonts w:hint="eastAsia" w:cs="Times New Roman"/>
          <w:kern w:val="2"/>
          <w:lang w:eastAsia="zh-CN"/>
        </w:rPr>
        <w:t>广东省自然资源厅关于</w:t>
      </w:r>
      <w:r>
        <w:rPr>
          <w:rFonts w:cs="Times New Roman"/>
          <w:kern w:val="2"/>
          <w:lang w:eastAsia="zh-CN"/>
        </w:rPr>
        <w:t>广州</w:t>
      </w:r>
      <w:r>
        <w:rPr>
          <w:rFonts w:hint="eastAsia" w:cs="Times New Roman"/>
          <w:kern w:val="2"/>
          <w:lang w:eastAsia="zh-CN"/>
        </w:rPr>
        <w:t>市</w:t>
      </w:r>
      <w:r>
        <w:rPr>
          <w:rFonts w:cs="Times New Roman"/>
          <w:kern w:val="2"/>
          <w:lang w:eastAsia="zh-CN"/>
        </w:rPr>
        <w:t>征收农用地区片综合地价</w:t>
      </w:r>
      <w:r>
        <w:rPr>
          <w:rFonts w:hint="eastAsia" w:cs="Times New Roman"/>
          <w:kern w:val="2"/>
          <w:lang w:eastAsia="zh-CN"/>
        </w:rPr>
        <w:t>成果的批复</w:t>
      </w:r>
      <w:r>
        <w:rPr>
          <w:rFonts w:cs="Times New Roman"/>
          <w:kern w:val="2"/>
          <w:lang w:eastAsia="zh-CN"/>
        </w:rPr>
        <w:t>》</w:t>
      </w:r>
      <w:r>
        <w:rPr>
          <w:rFonts w:hint="eastAsia" w:cs="Times New Roman"/>
          <w:kern w:val="2"/>
          <w:lang w:eastAsia="zh-CN"/>
        </w:rPr>
        <w:t>（粤自然资函〔2024〕103号）</w:t>
      </w:r>
      <w:r>
        <w:rPr>
          <w:rFonts w:cs="Times New Roman"/>
          <w:kern w:val="2"/>
          <w:lang w:eastAsia="zh-CN"/>
        </w:rPr>
        <w:t>的规定，</w:t>
      </w:r>
      <w:r>
        <w:rPr>
          <w:rFonts w:hint="eastAsia" w:cs="Times New Roman"/>
          <w:kern w:val="2"/>
          <w:lang w:eastAsia="zh-CN"/>
        </w:rPr>
        <w:t>赤坭镇、炭步镇的土地补偿标准费为</w:t>
      </w:r>
      <w:r>
        <w:rPr>
          <w:rFonts w:cs="Times New Roman"/>
          <w:kern w:val="2"/>
          <w:lang w:eastAsia="zh-CN"/>
        </w:rPr>
        <w:t>82.5</w:t>
      </w:r>
      <w:r>
        <w:rPr>
          <w:rFonts w:hint="eastAsia" w:cs="Times New Roman"/>
          <w:kern w:val="2"/>
          <w:lang w:eastAsia="zh-CN"/>
        </w:rPr>
        <w:t>万元</w:t>
      </w:r>
      <w:r>
        <w:rPr>
          <w:rFonts w:cs="Times New Roman"/>
          <w:kern w:val="2"/>
          <w:lang w:eastAsia="zh-CN"/>
        </w:rPr>
        <w:t>/</w:t>
      </w:r>
      <w:r>
        <w:rPr>
          <w:rFonts w:hint="eastAsia" w:cs="Times New Roman"/>
          <w:kern w:val="2"/>
          <w:lang w:eastAsia="zh-CN"/>
        </w:rPr>
        <w:t>公顷，安置补助费标准为</w:t>
      </w:r>
      <w:r>
        <w:rPr>
          <w:rFonts w:cs="Times New Roman"/>
          <w:kern w:val="2"/>
          <w:lang w:eastAsia="zh-CN"/>
        </w:rPr>
        <w:t>82.5‬</w:t>
      </w:r>
      <w:r>
        <w:rPr>
          <w:rFonts w:hint="eastAsia" w:cs="Times New Roman"/>
          <w:kern w:val="2"/>
          <w:lang w:eastAsia="zh-CN"/>
        </w:rPr>
        <w:t>万元</w:t>
      </w:r>
      <w:r>
        <w:rPr>
          <w:rFonts w:cs="Times New Roman"/>
          <w:kern w:val="2"/>
          <w:lang w:eastAsia="zh-CN"/>
        </w:rPr>
        <w:t>/</w:t>
      </w:r>
      <w:r>
        <w:rPr>
          <w:rFonts w:hint="eastAsia" w:cs="Times New Roman"/>
          <w:kern w:val="2"/>
          <w:lang w:eastAsia="zh-CN"/>
        </w:rPr>
        <w:t>公顷。</w:t>
      </w:r>
    </w:p>
    <w:p w14:paraId="308F31F6">
      <w:pPr>
        <w:spacing w:line="560" w:lineRule="exact"/>
        <w:ind w:firstLine="634" w:firstLineChars="200"/>
        <w:jc w:val="both"/>
        <w:rPr>
          <w:rFonts w:eastAsia="楷体" w:cs="Times New Roman"/>
          <w:lang w:eastAsia="zh-CN"/>
        </w:rPr>
      </w:pPr>
      <w:r>
        <w:rPr>
          <w:rFonts w:eastAsia="楷体" w:cs="Times New Roman"/>
          <w:lang w:eastAsia="zh-CN"/>
        </w:rPr>
        <w:t>（二）农村村民住宅补偿。</w:t>
      </w:r>
    </w:p>
    <w:p w14:paraId="455D3847">
      <w:pPr>
        <w:spacing w:line="560" w:lineRule="exact"/>
        <w:ind w:firstLine="634" w:firstLineChars="200"/>
        <w:jc w:val="both"/>
        <w:rPr>
          <w:rFonts w:cs="Times New Roman"/>
          <w:kern w:val="2"/>
          <w:lang w:eastAsia="zh-CN"/>
        </w:rPr>
      </w:pPr>
      <w:r>
        <w:rPr>
          <w:rFonts w:hint="eastAsia" w:cs="Times New Roman"/>
          <w:bCs/>
          <w:kern w:val="2"/>
          <w:lang w:eastAsia="zh-CN"/>
        </w:rPr>
        <w:t>本次征地不涉及</w:t>
      </w:r>
      <w:r>
        <w:rPr>
          <w:rFonts w:cs="Times New Roman"/>
          <w:kern w:val="2"/>
          <w:lang w:eastAsia="zh-CN"/>
        </w:rPr>
        <w:t>农村村民住宅补偿</w:t>
      </w:r>
      <w:r>
        <w:rPr>
          <w:rFonts w:hint="eastAsia" w:cs="Times New Roman"/>
          <w:bCs/>
          <w:kern w:val="2"/>
          <w:lang w:eastAsia="zh-CN"/>
        </w:rPr>
        <w:t>。</w:t>
      </w:r>
    </w:p>
    <w:p w14:paraId="137652C5">
      <w:pPr>
        <w:spacing w:line="560" w:lineRule="exact"/>
        <w:ind w:firstLine="634" w:firstLineChars="200"/>
        <w:jc w:val="both"/>
        <w:rPr>
          <w:rFonts w:eastAsia="楷体" w:cs="Times New Roman"/>
          <w:lang w:eastAsia="zh-CN"/>
        </w:rPr>
      </w:pPr>
      <w:r>
        <w:rPr>
          <w:rFonts w:hint="eastAsia" w:eastAsia="楷体" w:cs="Times New Roman"/>
          <w:lang w:eastAsia="zh-CN"/>
        </w:rPr>
        <w:t>（三）</w:t>
      </w:r>
      <w:r>
        <w:rPr>
          <w:rFonts w:eastAsia="楷体" w:cs="Times New Roman"/>
          <w:lang w:eastAsia="zh-CN"/>
        </w:rPr>
        <w:t>青苗及其他地上附着物补偿。</w:t>
      </w:r>
    </w:p>
    <w:p w14:paraId="36A26E88">
      <w:pPr>
        <w:spacing w:line="560" w:lineRule="exact"/>
        <w:ind w:firstLine="634" w:firstLineChars="200"/>
        <w:jc w:val="both"/>
        <w:rPr>
          <w:rFonts w:cs="Times New Roman"/>
          <w:kern w:val="2"/>
          <w:lang w:eastAsia="zh-CN"/>
        </w:rPr>
      </w:pPr>
      <w:r>
        <w:rPr>
          <w:rFonts w:hint="eastAsia" w:cs="Times New Roman"/>
          <w:kern w:val="2"/>
          <w:lang w:eastAsia="zh-CN"/>
        </w:rPr>
        <w:t>青苗及其他地上附着物补偿参照</w:t>
      </w:r>
      <w:r>
        <w:rPr>
          <w:rFonts w:cs="Times New Roman"/>
          <w:kern w:val="2"/>
          <w:lang w:eastAsia="zh-CN"/>
        </w:rPr>
        <w:t>《广州市花都区人民政府办公室印发花都区片区征地包干补偿工作方案的通知》（花府办〔2016〕12号）</w:t>
      </w:r>
      <w:r>
        <w:rPr>
          <w:rFonts w:hint="eastAsia"/>
          <w:kern w:val="2"/>
          <w:lang w:eastAsia="zh-CN"/>
        </w:rPr>
        <w:t>的规定执行</w:t>
      </w:r>
      <w:r>
        <w:rPr>
          <w:rFonts w:hint="eastAsia" w:cs="Times New Roman"/>
          <w:kern w:val="2"/>
          <w:lang w:eastAsia="zh-CN"/>
        </w:rPr>
        <w:t>。</w:t>
      </w:r>
    </w:p>
    <w:p w14:paraId="54729018">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五、安置对象</w:t>
      </w:r>
    </w:p>
    <w:p w14:paraId="7CB3B9C9">
      <w:pPr>
        <w:spacing w:line="560" w:lineRule="exact"/>
        <w:ind w:firstLine="634" w:firstLineChars="200"/>
        <w:jc w:val="both"/>
        <w:rPr>
          <w:rFonts w:cs="Times New Roman"/>
          <w:kern w:val="2"/>
          <w:lang w:eastAsia="zh-CN"/>
        </w:rPr>
      </w:pPr>
      <w:r>
        <w:rPr>
          <w:rFonts w:cs="Times New Roman"/>
          <w:kern w:val="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cs="Times New Roman"/>
          <w:kern w:val="2"/>
          <w:lang w:eastAsia="zh-CN"/>
        </w:rPr>
        <w:t>保</w:t>
      </w:r>
      <w:r>
        <w:rPr>
          <w:rFonts w:cs="Times New Roman"/>
          <w:kern w:val="2"/>
          <w:lang w:eastAsia="zh-CN"/>
        </w:rPr>
        <w:t>障。安置补助费由区人民政府按规定支付给土地所有权人，由农村财务管理部</w:t>
      </w:r>
      <w:bookmarkStart w:id="0" w:name="_GoBack"/>
      <w:bookmarkEnd w:id="0"/>
      <w:r>
        <w:rPr>
          <w:rFonts w:cs="Times New Roman"/>
          <w:kern w:val="2"/>
          <w:lang w:eastAsia="zh-CN"/>
        </w:rPr>
        <w:t>门按照省、市农村集体资产管理相关规定管理和使用。</w:t>
      </w:r>
    </w:p>
    <w:p w14:paraId="0E902978">
      <w:pPr>
        <w:pStyle w:val="6"/>
        <w:spacing w:before="0" w:line="560" w:lineRule="exact"/>
        <w:ind w:left="0" w:firstLine="634" w:firstLineChars="200"/>
        <w:jc w:val="both"/>
        <w:rPr>
          <w:rFonts w:ascii="黑体" w:hAnsi="黑体" w:eastAsia="黑体" w:cs="仿宋_GB2312"/>
          <w:kern w:val="2"/>
          <w:lang w:eastAsia="zh-CN"/>
        </w:rPr>
      </w:pPr>
      <w:r>
        <w:rPr>
          <w:rFonts w:hint="eastAsia" w:ascii="黑体" w:hAnsi="黑体" w:eastAsia="黑体" w:cs="仿宋_GB2312"/>
          <w:kern w:val="2"/>
          <w:lang w:eastAsia="zh-CN"/>
        </w:rPr>
        <w:t>六、安置方式和社会保障</w:t>
      </w:r>
    </w:p>
    <w:p w14:paraId="76C2C1B1">
      <w:pPr>
        <w:spacing w:line="560" w:lineRule="exact"/>
        <w:ind w:firstLine="634" w:firstLineChars="200"/>
        <w:jc w:val="both"/>
        <w:rPr>
          <w:rFonts w:cs="Times New Roman"/>
          <w:kern w:val="2"/>
          <w:lang w:eastAsia="zh-CN"/>
        </w:rPr>
      </w:pPr>
      <w:r>
        <w:rPr>
          <w:rFonts w:eastAsia="楷体" w:cs="Times New Roman"/>
          <w:lang w:eastAsia="zh-CN"/>
        </w:rPr>
        <w:t>（一）货币安置。</w:t>
      </w:r>
      <w:r>
        <w:rPr>
          <w:lang w:eastAsia="zh-CN" w:bidi="ar"/>
        </w:rPr>
        <w:t>有关费用已包含在土地补偿费与安置补助费中</w:t>
      </w:r>
      <w:r>
        <w:rPr>
          <w:rFonts w:cs="Times New Roman"/>
          <w:kern w:val="2"/>
          <w:lang w:eastAsia="zh-CN"/>
        </w:rPr>
        <w:t>。</w:t>
      </w:r>
    </w:p>
    <w:p w14:paraId="7C5258B1">
      <w:pPr>
        <w:spacing w:line="560" w:lineRule="exact"/>
        <w:ind w:firstLine="634" w:firstLineChars="200"/>
        <w:jc w:val="both"/>
        <w:rPr>
          <w:rFonts w:cs="Times New Roman"/>
          <w:kern w:val="2"/>
          <w:highlight w:val="yellow"/>
          <w:lang w:eastAsia="zh-CN" w:bidi="ar"/>
        </w:rPr>
      </w:pPr>
      <w:r>
        <w:rPr>
          <w:rFonts w:eastAsia="楷体" w:cs="Times New Roman"/>
          <w:lang w:eastAsia="zh-CN"/>
        </w:rPr>
        <w:t>（二）留用地安置。</w:t>
      </w:r>
      <w:r>
        <w:rPr>
          <w:rFonts w:cs="Times New Roman"/>
          <w:kern w:val="2"/>
          <w:lang w:eastAsia="zh-CN" w:bidi="ar"/>
        </w:rPr>
        <w:t>根据</w:t>
      </w:r>
      <w:r>
        <w:rPr>
          <w:rFonts w:cs="Times New Roman"/>
          <w:bCs/>
          <w:kern w:val="2"/>
          <w:lang w:eastAsia="zh-CN" w:bidi="ar"/>
        </w:rPr>
        <w:t>《广东省人民政府办公厅关于加强征收农村集体土地留用地安置管理工作的意见》</w:t>
      </w:r>
      <w:r>
        <w:rPr>
          <w:rFonts w:cs="Times New Roman"/>
          <w:kern w:val="2"/>
          <w:lang w:eastAsia="zh-CN" w:bidi="ar"/>
        </w:rPr>
        <w:t>（粤</w:t>
      </w:r>
      <w:r>
        <w:rPr>
          <w:rFonts w:cs="Times New Roman"/>
          <w:bCs/>
          <w:kern w:val="2"/>
          <w:lang w:eastAsia="zh-CN" w:bidi="ar"/>
        </w:rPr>
        <w:t>府办</w:t>
      </w:r>
      <w:r>
        <w:rPr>
          <w:rFonts w:cs="Times New Roman"/>
          <w:kern w:val="2"/>
          <w:lang w:eastAsia="zh-CN" w:bidi="ar"/>
        </w:rPr>
        <w:t>〔2016〕</w:t>
      </w:r>
      <w:r>
        <w:rPr>
          <w:rFonts w:cs="Times New Roman"/>
          <w:bCs/>
          <w:kern w:val="2"/>
          <w:lang w:eastAsia="zh-CN" w:bidi="ar"/>
        </w:rPr>
        <w:t>30</w:t>
      </w:r>
      <w:r>
        <w:rPr>
          <w:rFonts w:cs="Times New Roman"/>
          <w:kern w:val="2"/>
          <w:lang w:eastAsia="zh-CN" w:bidi="ar"/>
        </w:rPr>
        <w:t>号）的规定，按实际征收土地面积的</w:t>
      </w:r>
      <w:r>
        <w:rPr>
          <w:rFonts w:hint="eastAsia" w:cs="Times New Roman"/>
          <w:bCs/>
          <w:kern w:val="2"/>
          <w:lang w:eastAsia="zh-CN" w:bidi="ar"/>
        </w:rPr>
        <w:t>10</w:t>
      </w:r>
      <w:r>
        <w:rPr>
          <w:rFonts w:cs="Times New Roman"/>
          <w:kern w:val="2"/>
          <w:lang w:eastAsia="zh-CN" w:bidi="ar"/>
        </w:rPr>
        <w:t>%，</w:t>
      </w:r>
      <w:r>
        <w:rPr>
          <w:rFonts w:hint="eastAsia" w:cs="Times New Roman"/>
          <w:kern w:val="2"/>
          <w:lang w:eastAsia="zh-CN" w:bidi="ar"/>
        </w:rPr>
        <w:t>赤坭镇缠岗村按照实地留地方式安排留用地，赤坭镇白石村、荷溪村、黄沙塘村、连珠村、瑞岭村，炭步镇茶塘村、平岭头村、石湖山村、水口村、新太村按照940万元/公顷折算货币补偿方式安排留用地</w:t>
      </w:r>
      <w:r>
        <w:rPr>
          <w:rFonts w:cs="Times New Roman"/>
          <w:kern w:val="2"/>
          <w:lang w:eastAsia="zh-CN" w:bidi="ar"/>
        </w:rPr>
        <w:t>。</w:t>
      </w:r>
    </w:p>
    <w:p w14:paraId="6F437F8D">
      <w:pPr>
        <w:tabs>
          <w:tab w:val="left" w:pos="5402"/>
        </w:tabs>
        <w:spacing w:line="560" w:lineRule="exact"/>
        <w:ind w:firstLine="634" w:firstLineChars="200"/>
        <w:jc w:val="both"/>
        <w:rPr>
          <w:rFonts w:ascii="仿宋_GB2312" w:hAnsi="仿宋_GB2312" w:cs="仿宋_GB2312"/>
          <w:kern w:val="2"/>
          <w:lang w:eastAsia="zh-CN" w:bidi="ar"/>
        </w:rPr>
      </w:pPr>
      <w:r>
        <w:rPr>
          <w:rFonts w:hint="eastAsia" w:eastAsia="楷体" w:cs="Times New Roman"/>
          <w:lang w:eastAsia="zh-CN"/>
        </w:rPr>
        <w:t>（三）社会保障。</w:t>
      </w:r>
      <w:r>
        <w:rPr>
          <w:rFonts w:hint="eastAsia" w:ascii="仿宋_GB2312" w:hAnsi="仿宋_GB2312" w:cs="仿宋_GB2312"/>
          <w:kern w:val="2"/>
          <w:lang w:eastAsia="zh-CN"/>
        </w:rPr>
        <w:t>该项目征收赤坭镇白石村、缠岗村、荷溪村、黄沙塘村、连珠村、瑞岭村，炭步镇茶塘村、平岭头村、石湖山村、水口村、新太村土地面积共</w:t>
      </w:r>
      <w:r>
        <w:rPr>
          <w:rFonts w:hint="eastAsia" w:cs="Times New Roman"/>
          <w:kern w:val="2"/>
          <w:lang w:eastAsia="zh-CN" w:bidi="ar"/>
        </w:rPr>
        <w:t>139.3200</w:t>
      </w:r>
      <w:r>
        <w:rPr>
          <w:rFonts w:hint="eastAsia" w:ascii="仿宋_GB2312" w:hAnsi="仿宋_GB2312" w:cs="仿宋_GB2312"/>
          <w:kern w:val="2"/>
          <w:lang w:eastAsia="zh-CN"/>
        </w:rPr>
        <w:t>亩，</w:t>
      </w:r>
      <w:r>
        <w:rPr>
          <w:rFonts w:hint="eastAsia" w:ascii="仿宋_GB2312" w:hAnsi="仿宋_GB2312" w:cs="仿宋_GB2312"/>
          <w:kern w:val="2"/>
          <w:lang w:eastAsia="zh-CN" w:bidi="ar"/>
        </w:rPr>
        <w:t>根据《广东省人民政府办公厅转发省人力资源社会保障厅关于进一步完善我省被征地农民养老保障政策意见的通知》（粤府办</w:t>
      </w:r>
      <w:r>
        <w:rPr>
          <w:rFonts w:cs="Times New Roman"/>
          <w:kern w:val="2"/>
          <w:lang w:eastAsia="zh-CN" w:bidi="ar"/>
        </w:rPr>
        <w:t>〔2021〕22</w:t>
      </w:r>
      <w:r>
        <w:rPr>
          <w:rFonts w:hint="eastAsia" w:ascii="仿宋_GB2312" w:hAnsi="仿宋_GB2312" w:cs="仿宋_GB2312"/>
          <w:kern w:val="2"/>
          <w:lang w:eastAsia="zh-CN" w:bidi="ar"/>
        </w:rPr>
        <w:t>号）规定，核定该项目按</w:t>
      </w:r>
      <w:r>
        <w:rPr>
          <w:rFonts w:cs="Times New Roman"/>
          <w:kern w:val="2"/>
          <w:lang w:eastAsia="zh-CN" w:bidi="ar"/>
        </w:rPr>
        <w:t>2.14</w:t>
      </w:r>
      <w:r>
        <w:rPr>
          <w:rFonts w:hint="eastAsia" w:ascii="仿宋_GB2312" w:hAnsi="仿宋_GB2312" w:cs="仿宋_GB2312"/>
          <w:kern w:val="2"/>
          <w:lang w:eastAsia="zh-CN" w:bidi="ar"/>
        </w:rPr>
        <w:t>万元/亩的标准一次性计提征地社保费共</w:t>
      </w:r>
      <w:r>
        <w:rPr>
          <w:rFonts w:cs="Times New Roman"/>
          <w:kern w:val="2"/>
          <w:lang w:eastAsia="zh-CN" w:bidi="ar"/>
        </w:rPr>
        <w:t>298.24</w:t>
      </w:r>
      <w:r>
        <w:rPr>
          <w:rFonts w:hint="eastAsia" w:ascii="仿宋_GB2312" w:hAnsi="仿宋_GB2312" w:cs="仿宋_GB2312"/>
          <w:kern w:val="2"/>
          <w:lang w:eastAsia="zh-CN" w:bidi="ar"/>
        </w:rPr>
        <w:t>万元，预存入区“收缴被征地农民养老保障资金过渡户”，专款用于被征地农民养老保障。</w:t>
      </w:r>
    </w:p>
    <w:p w14:paraId="5E505CFF">
      <w:pPr>
        <w:pStyle w:val="6"/>
        <w:spacing w:before="0" w:line="560" w:lineRule="exact"/>
        <w:ind w:left="0" w:right="260"/>
        <w:jc w:val="right"/>
        <w:rPr>
          <w:rFonts w:ascii="仿宋_GB2312" w:hAnsi="仿宋_GB2312" w:eastAsia="仿宋_GB2312" w:cs="仿宋_GB2312"/>
          <w:kern w:val="2"/>
          <w:lang w:eastAsia="zh-CN"/>
        </w:rPr>
      </w:pPr>
    </w:p>
    <w:p w14:paraId="76314427">
      <w:pPr>
        <w:pStyle w:val="6"/>
        <w:spacing w:before="0" w:line="560" w:lineRule="exact"/>
        <w:ind w:left="0" w:right="260"/>
        <w:jc w:val="right"/>
        <w:rPr>
          <w:rFonts w:ascii="仿宋_GB2312" w:hAnsi="仿宋_GB2312" w:eastAsia="仿宋_GB2312" w:cs="仿宋_GB2312"/>
          <w:kern w:val="2"/>
          <w:lang w:eastAsia="zh-CN"/>
        </w:rPr>
      </w:pPr>
    </w:p>
    <w:p w14:paraId="3FA94BE5">
      <w:pPr>
        <w:pStyle w:val="6"/>
        <w:spacing w:before="0" w:line="560" w:lineRule="exact"/>
        <w:ind w:left="0" w:right="260"/>
        <w:jc w:val="righ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广州市规划和自然资源局花都区分局</w:t>
      </w:r>
    </w:p>
    <w:p w14:paraId="36F70052">
      <w:pPr>
        <w:pStyle w:val="6"/>
        <w:spacing w:before="0" w:line="560" w:lineRule="exact"/>
        <w:ind w:left="0" w:right="260"/>
        <w:jc w:val="center"/>
        <w:rPr>
          <w:rFonts w:ascii="Times New Roman" w:hAnsi="Times New Roman" w:eastAsia="仿宋_GB2312" w:cs="Times New Roman"/>
          <w:kern w:val="2"/>
        </w:rPr>
      </w:pPr>
      <w:r>
        <w:rPr>
          <w:rFonts w:hint="eastAsia" w:ascii="Times New Roman" w:hAnsi="Times New Roman" w:eastAsia="仿宋_GB2312" w:cs="Times New Roman"/>
          <w:kern w:val="2"/>
          <w:lang w:eastAsia="zh-CN"/>
        </w:rPr>
        <w:t xml:space="preserve">                                                </w:t>
      </w:r>
      <w:r>
        <w:rPr>
          <w:rFonts w:ascii="Times New Roman" w:hAnsi="Times New Roman" w:eastAsia="仿宋_GB2312" w:cs="Times New Roman"/>
          <w:kern w:val="2"/>
          <w:lang w:eastAsia="zh-CN"/>
        </w:rPr>
        <w:t>2026</w:t>
      </w:r>
      <w:r>
        <w:rPr>
          <w:rFonts w:ascii="Times New Roman" w:hAnsi="Times New Roman" w:eastAsia="仿宋_GB2312" w:cs="Times New Roman"/>
          <w:kern w:val="2"/>
        </w:rPr>
        <w:t>年</w:t>
      </w:r>
      <w:r>
        <w:rPr>
          <w:rFonts w:hint="eastAsia" w:ascii="Times New Roman" w:hAnsi="Times New Roman" w:eastAsia="仿宋_GB2312" w:cs="Times New Roman"/>
          <w:kern w:val="2"/>
          <w:lang w:val="en-US" w:eastAsia="zh-CN"/>
        </w:rPr>
        <w:t>1</w:t>
      </w:r>
      <w:r>
        <w:rPr>
          <w:rFonts w:ascii="Times New Roman" w:hAnsi="Times New Roman" w:eastAsia="仿宋_GB2312" w:cs="Times New Roman"/>
          <w:kern w:val="2"/>
        </w:rPr>
        <w:t>月</w:t>
      </w:r>
      <w:r>
        <w:rPr>
          <w:rFonts w:hint="eastAsia" w:ascii="Times New Roman" w:hAnsi="Times New Roman" w:eastAsia="仿宋_GB2312" w:cs="Times New Roman"/>
          <w:kern w:val="2"/>
          <w:lang w:val="en-US" w:eastAsia="zh-CN"/>
        </w:rPr>
        <w:t>30</w:t>
      </w:r>
      <w:r>
        <w:rPr>
          <w:rFonts w:ascii="Times New Roman" w:hAnsi="Times New Roman" w:eastAsia="仿宋_GB2312" w:cs="Times New Roman"/>
          <w:kern w:val="2"/>
        </w:rPr>
        <w:t>日</w:t>
      </w:r>
    </w:p>
    <w:sectPr>
      <w:footerReference r:id="rId3" w:type="default"/>
      <w:pgSz w:w="11910" w:h="16840"/>
      <w:pgMar w:top="2098" w:right="1474" w:bottom="1984" w:left="1587" w:header="0" w:footer="1587" w:gutter="0"/>
      <w:cols w:space="0" w:num="1"/>
      <w:docGrid w:type="linesAndChars" w:linePitch="579" w:charSpace="-8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F13A1">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0C2DFD3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FA7463"/>
    <w:rsid w:val="001B3AEC"/>
    <w:rsid w:val="00492F33"/>
    <w:rsid w:val="004E6D24"/>
    <w:rsid w:val="00654064"/>
    <w:rsid w:val="00683D22"/>
    <w:rsid w:val="00793510"/>
    <w:rsid w:val="008945C0"/>
    <w:rsid w:val="00895630"/>
    <w:rsid w:val="00954384"/>
    <w:rsid w:val="00A55AB3"/>
    <w:rsid w:val="00AA077B"/>
    <w:rsid w:val="00AA0DB8"/>
    <w:rsid w:val="00B67BD3"/>
    <w:rsid w:val="00CB1A53"/>
    <w:rsid w:val="00D20FD8"/>
    <w:rsid w:val="00DF6495"/>
    <w:rsid w:val="00EC4405"/>
    <w:rsid w:val="00F10AE2"/>
    <w:rsid w:val="00FA7463"/>
    <w:rsid w:val="022A33E1"/>
    <w:rsid w:val="02D84414"/>
    <w:rsid w:val="03ED4F45"/>
    <w:rsid w:val="04654DC4"/>
    <w:rsid w:val="0822151D"/>
    <w:rsid w:val="08682950"/>
    <w:rsid w:val="08D15B8E"/>
    <w:rsid w:val="08D87341"/>
    <w:rsid w:val="0BC12118"/>
    <w:rsid w:val="0C3B1C9C"/>
    <w:rsid w:val="0C890300"/>
    <w:rsid w:val="0D5A4B28"/>
    <w:rsid w:val="0D630F89"/>
    <w:rsid w:val="12F941B8"/>
    <w:rsid w:val="15C727F2"/>
    <w:rsid w:val="161B7A15"/>
    <w:rsid w:val="162B00EE"/>
    <w:rsid w:val="16E50DE0"/>
    <w:rsid w:val="17AA4179"/>
    <w:rsid w:val="18673E19"/>
    <w:rsid w:val="1927280E"/>
    <w:rsid w:val="19977D8A"/>
    <w:rsid w:val="219E39B8"/>
    <w:rsid w:val="245B0CD5"/>
    <w:rsid w:val="25173237"/>
    <w:rsid w:val="25477C36"/>
    <w:rsid w:val="29C73F17"/>
    <w:rsid w:val="2B7D7783"/>
    <w:rsid w:val="2BE439BC"/>
    <w:rsid w:val="2F2F33BB"/>
    <w:rsid w:val="31503AA3"/>
    <w:rsid w:val="3187156E"/>
    <w:rsid w:val="32DD53AE"/>
    <w:rsid w:val="33085EB0"/>
    <w:rsid w:val="33946D2B"/>
    <w:rsid w:val="34394804"/>
    <w:rsid w:val="34CC172C"/>
    <w:rsid w:val="38D54211"/>
    <w:rsid w:val="39A42B0C"/>
    <w:rsid w:val="3B7F12F6"/>
    <w:rsid w:val="3B8E0546"/>
    <w:rsid w:val="3D360B86"/>
    <w:rsid w:val="3D4536F5"/>
    <w:rsid w:val="3F8571D3"/>
    <w:rsid w:val="40AD4EC0"/>
    <w:rsid w:val="46753A21"/>
    <w:rsid w:val="47EA5951"/>
    <w:rsid w:val="4CE51E03"/>
    <w:rsid w:val="4D1F0243"/>
    <w:rsid w:val="4FDC68BF"/>
    <w:rsid w:val="50186B3E"/>
    <w:rsid w:val="501F24FB"/>
    <w:rsid w:val="505F6CEB"/>
    <w:rsid w:val="51114346"/>
    <w:rsid w:val="52270DB5"/>
    <w:rsid w:val="54382FF3"/>
    <w:rsid w:val="54E02594"/>
    <w:rsid w:val="589715D5"/>
    <w:rsid w:val="5B322C49"/>
    <w:rsid w:val="5C604340"/>
    <w:rsid w:val="5C725C94"/>
    <w:rsid w:val="5EF369C2"/>
    <w:rsid w:val="5F7D66C9"/>
    <w:rsid w:val="5FF92B75"/>
    <w:rsid w:val="60ED7905"/>
    <w:rsid w:val="611D2893"/>
    <w:rsid w:val="63714235"/>
    <w:rsid w:val="6488303F"/>
    <w:rsid w:val="64AA2690"/>
    <w:rsid w:val="64ED2421"/>
    <w:rsid w:val="65AE61B0"/>
    <w:rsid w:val="664B18ED"/>
    <w:rsid w:val="66B75EA9"/>
    <w:rsid w:val="671A7149"/>
    <w:rsid w:val="681C38A5"/>
    <w:rsid w:val="6C7651BB"/>
    <w:rsid w:val="6CCB5899"/>
    <w:rsid w:val="6DB30687"/>
    <w:rsid w:val="6F8C3791"/>
    <w:rsid w:val="708E5910"/>
    <w:rsid w:val="71357785"/>
    <w:rsid w:val="71B92164"/>
    <w:rsid w:val="71F72C8D"/>
    <w:rsid w:val="747B57C1"/>
    <w:rsid w:val="75B44CF4"/>
    <w:rsid w:val="768B3F84"/>
    <w:rsid w:val="76910A96"/>
    <w:rsid w:val="772D2C2D"/>
    <w:rsid w:val="77B966EC"/>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Cs w:val="24"/>
      <w:lang w:eastAsia="zh-CN"/>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sz w:val="24"/>
    </w:rPr>
  </w:style>
  <w:style w:type="paragraph" w:styleId="5">
    <w:name w:val="annotation text"/>
    <w:basedOn w:val="1"/>
    <w:qFormat/>
    <w:uiPriority w:val="0"/>
  </w:style>
  <w:style w:type="paragraph" w:styleId="6">
    <w:name w:val="Body Text"/>
    <w:basedOn w:val="1"/>
    <w:qFormat/>
    <w:uiPriority w:val="1"/>
    <w:pPr>
      <w:spacing w:before="35"/>
      <w:ind w:left="760"/>
    </w:pPr>
    <w:rPr>
      <w:rFonts w:ascii="Adobe 黑体 Std R" w:hAnsi="Adobe 黑体 Std R" w:eastAsia="Adobe 黑体 Std R"/>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eastAsia="仿宋_GB2312" w:cstheme="minorBidi"/>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484</Words>
  <Characters>2764</Characters>
  <Lines>23</Lines>
  <Paragraphs>6</Paragraphs>
  <TotalTime>37</TotalTime>
  <ScaleCrop>false</ScaleCrop>
  <LinksUpToDate>false</LinksUpToDate>
  <CharactersWithSpaces>3242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2026-02-02T08:29:27Z</cp:lastPrinted>
  <dcterms:modified xsi:type="dcterms:W3CDTF">2026-02-02T08:29:58Z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