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方正小标宋简体" w:hAnsi="方正小标宋简体" w:eastAsia="方正小标宋简体" w:cs="方正小标宋简体"/>
          <w:color w:val="auto"/>
          <w:sz w:val="44"/>
          <w:szCs w:val="44"/>
          <w:lang w:eastAsia="zh-CN"/>
        </w:rPr>
      </w:pPr>
      <w:bookmarkStart w:id="0" w:name="_GoBack"/>
      <w:r>
        <w:rPr>
          <w:rFonts w:hint="eastAsia" w:ascii="方正小标宋简体" w:hAnsi="方正小标宋简体" w:eastAsia="方正小标宋简体" w:cs="方正小标宋简体"/>
          <w:bCs/>
          <w:color w:val="auto"/>
          <w:sz w:val="44"/>
          <w:szCs w:val="44"/>
        </w:rPr>
        <w:t>关</w:t>
      </w:r>
      <w:r>
        <w:rPr>
          <w:rFonts w:hint="eastAsia" w:ascii="方正小标宋简体" w:hAnsi="仿宋" w:eastAsia="方正小标宋简体" w:cs="宋体"/>
          <w:bCs/>
          <w:color w:val="auto"/>
          <w:sz w:val="44"/>
          <w:szCs w:val="44"/>
        </w:rPr>
        <w:t>于</w:t>
      </w:r>
      <w:r>
        <w:rPr>
          <w:rFonts w:hint="eastAsia" w:ascii="方正小标宋简体" w:hAnsi="仿宋" w:eastAsia="方正小标宋简体" w:cs="宋体"/>
          <w:bCs/>
          <w:color w:val="auto"/>
          <w:sz w:val="44"/>
          <w:szCs w:val="44"/>
        </w:rPr>
        <w:t>广州市花都区2026年度第二批次城镇建</w:t>
      </w:r>
      <w:bookmarkEnd w:id="0"/>
      <w:r>
        <w:rPr>
          <w:rFonts w:hint="eastAsia" w:ascii="方正小标宋简体" w:hAnsi="仿宋" w:eastAsia="方正小标宋简体" w:cs="宋体"/>
          <w:bCs/>
          <w:color w:val="auto"/>
          <w:sz w:val="44"/>
          <w:szCs w:val="44"/>
        </w:rPr>
        <w:t>设用地（新和村经济发展留用地项目〔联邦〕）</w:t>
      </w:r>
      <w:r>
        <w:rPr>
          <w:rFonts w:hint="eastAsia" w:ascii="方正小标宋简体" w:hAnsi="方正小标宋简体" w:eastAsia="方正小标宋简体" w:cs="方正小标宋简体"/>
          <w:color w:val="auto"/>
          <w:sz w:val="44"/>
          <w:szCs w:val="44"/>
          <w:lang w:eastAsia="zh-CN"/>
        </w:rPr>
        <w:t>被征地农民养老保障方案</w:t>
      </w:r>
    </w:p>
    <w:p>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w:t>
      </w:r>
      <w:r>
        <w:rPr>
          <w:rFonts w:hint="eastAsia" w:ascii="仿宋_GB2312" w:hAnsi="仿宋_GB2312" w:cs="仿宋_GB2312"/>
          <w:color w:val="auto"/>
          <w:kern w:val="0"/>
          <w:shd w:val="clear" w:color="auto" w:fill="FFFFFF"/>
          <w:lang w:bidi="ar"/>
        </w:rPr>
        <w:t>有关规定，拟定</w:t>
      </w:r>
      <w:r>
        <w:rPr>
          <w:rFonts w:hint="eastAsia" w:ascii="仿宋_GB2312" w:hAnsi="仿宋_GB2312" w:cs="仿宋_GB2312"/>
          <w:color w:val="auto"/>
          <w:kern w:val="0"/>
          <w:shd w:val="clear" w:color="auto" w:fill="FFFFFF"/>
          <w:lang w:bidi="ar"/>
        </w:rPr>
        <w:t>广州市花都区2026年度第二批次城镇建设用地（新和村经济发展留用地项目〔联邦〕）</w:t>
      </w:r>
      <w:r>
        <w:rPr>
          <w:rFonts w:hint="eastAsia" w:ascii="仿宋_GB2312" w:hAnsi="仿宋_GB2312" w:eastAsia="仿宋_GB2312" w:cs="仿宋_GB2312"/>
          <w:color w:val="auto"/>
          <w:lang w:val="en-US" w:eastAsia="zh-CN"/>
        </w:rPr>
        <w:t>被征地农民养老保障方案如下：</w:t>
      </w:r>
    </w:p>
    <w:p>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kern w:val="0"/>
          <w:shd w:val="clear" w:color="auto" w:fill="FFFFFF"/>
          <w:lang w:bidi="ar"/>
        </w:rPr>
        <w:t>广州市花都区2026年度第二批次城镇建设用地（新和村经济发展留用地项目〔联邦〕）</w:t>
      </w:r>
      <w:r>
        <w:rPr>
          <w:rFonts w:hint="eastAsia" w:ascii="仿宋_GB2312" w:hAnsi="仿宋_GB2312" w:eastAsia="仿宋_GB2312" w:cs="仿宋_GB2312"/>
          <w:color w:val="auto"/>
          <w:lang w:val="en-US" w:eastAsia="zh-CN"/>
        </w:rPr>
        <w:t>项目涉及的被征地农民实施社会养老保障。</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val="en-US" w:eastAsia="zh-CN"/>
        </w:rPr>
        <w:t>花山镇新和村、平西村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w:t>
      </w:r>
      <w:r>
        <w:rPr>
          <w:rFonts w:hint="eastAsia" w:ascii="仿宋_GB2312" w:hAnsi="仿宋_GB2312" w:cs="仿宋_GB2312"/>
          <w:i w:val="0"/>
          <w:caps w:val="0"/>
          <w:color w:val="auto"/>
          <w:spacing w:val="0"/>
          <w:kern w:val="0"/>
          <w:sz w:val="32"/>
          <w:szCs w:val="32"/>
          <w:shd w:val="clear" w:color="auto" w:fill="FFFFFF"/>
          <w:lang w:val="en-US" w:eastAsia="zh-CN" w:bidi="ar"/>
        </w:rPr>
        <w:t>15.2520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kern w:val="2"/>
          <w:shd w:val="clear" w:color="auto" w:fill="auto"/>
          <w:lang w:bidi="ar-SA"/>
        </w:rPr>
        <w:t>0.8160亩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highlight w:val="none"/>
        </w:rPr>
        <w:t>0.8160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rPr>
        <w:t>30.91</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pPr>
        <w:numPr>
          <w:ilvl w:val="0"/>
          <w:numId w:val="0"/>
        </w:numPr>
        <w:ind w:firstLine="640" w:firstLineChars="200"/>
        <w:rPr>
          <w:rFonts w:hint="eastAsia" w:ascii="仿宋_GB2312" w:hAnsi="仿宋_GB2312" w:eastAsia="黑体" w:cs="仿宋_GB2312"/>
          <w:color w:val="auto"/>
          <w:lang w:val="en-US" w:eastAsia="zh-CN"/>
        </w:rPr>
      </w:pPr>
      <w:r>
        <w:rPr>
          <w:rFonts w:hint="eastAsia" w:ascii="仿宋_GB2312" w:hAnsi="仿宋_GB2312" w:cs="仿宋_GB2312"/>
          <w:color w:val="auto"/>
          <w:lang w:eastAsia="zh-CN"/>
        </w:rPr>
        <w:t>三、征</w:t>
      </w:r>
      <w:r>
        <w:rPr>
          <w:rFonts w:hint="eastAsia" w:ascii="仿宋_GB2312" w:hAnsi="仿宋_GB2312" w:eastAsia="仿宋_GB2312" w:cs="仿宋_GB2312"/>
          <w:color w:val="auto"/>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color w:val="auto"/>
          <w:kern w:val="0"/>
          <w:shd w:val="clear" w:color="auto" w:fill="FFFFFF"/>
          <w:lang w:val="en-US" w:eastAsia="zh-CN" w:bidi="ar"/>
        </w:rPr>
        <w:t xml:space="preserve"> </w:t>
      </w:r>
      <w:r>
        <w:rPr>
          <w:rFonts w:hint="eastAsia" w:ascii="仿宋_GB2312" w:hAnsi="仿宋_GB2312" w:eastAsia="黑体" w:cs="仿宋_GB2312"/>
          <w:color w:val="auto"/>
          <w:lang w:val="en-US" w:eastAsia="zh-CN"/>
        </w:rPr>
        <w:t xml:space="preserve">   </w:t>
      </w:r>
    </w:p>
    <w:p>
      <w:pPr>
        <w:numPr>
          <w:ilvl w:val="0"/>
          <w:numId w:val="0"/>
        </w:numPr>
        <w:ind w:firstLine="640" w:firstLineChars="200"/>
        <w:rPr>
          <w:rFonts w:hint="eastAsia" w:ascii="仿宋_GB2312" w:hAnsi="仿宋_GB2312" w:eastAsia="仿宋_GB2312" w:cs="仿宋_GB2312"/>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rPr>
          <w:color w:val="auto"/>
        </w:rPr>
        <w:t>社会保险经办部门</w:t>
      </w:r>
      <w:r>
        <w:rPr>
          <w:rFonts w:hint="eastAsia" w:ascii="仿宋_GB2312" w:hAnsi="仿宋_GB2312" w:cs="仿宋_GB2312"/>
          <w:color w:val="auto"/>
        </w:rPr>
        <w:t>办理社保手续。</w:t>
      </w:r>
    </w:p>
    <w:p>
      <w:pPr>
        <w:pStyle w:val="2"/>
        <w:ind w:left="0" w:leftChars="0" w:firstLine="0" w:firstLineChars="0"/>
        <w:rPr>
          <w:rFonts w:hint="eastAsia"/>
          <w:color w:val="auto"/>
          <w:sz w:val="32"/>
          <w:szCs w:val="32"/>
        </w:rPr>
      </w:pPr>
    </w:p>
    <w:p>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pPr>
        <w:rPr>
          <w:rFonts w:hint="eastAsia" w:ascii="仿宋_GB2312" w:hAnsi="仿宋_GB2312" w:eastAsia="仿宋_GB2312" w:cs="仿宋_GB2312"/>
          <w:color w:val="auto"/>
          <w:sz w:val="32"/>
          <w:szCs w:val="32"/>
          <w:lang w:val="en-US" w:eastAsia="zh-CN"/>
        </w:rPr>
      </w:pPr>
    </w:p>
    <w:p>
      <w:pPr>
        <w:pStyle w:val="2"/>
        <w:rPr>
          <w:rFonts w:hint="eastAsia"/>
          <w:color w:val="auto"/>
          <w:lang w:val="en-US" w:eastAsia="zh-CN"/>
        </w:rPr>
      </w:pPr>
    </w:p>
    <w:p>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2026</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pPr>
        <w:pStyle w:val="2"/>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p>
    <w:p>
      <w:pPr>
        <w:rPr>
          <w:rFonts w:hint="eastAsia"/>
          <w:color w:val="auto"/>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auto"/>
          <w:sz w:val="32"/>
          <w:szCs w:val="32"/>
        </w:rPr>
      </w:pPr>
    </w:p>
    <w:p>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auto"/>
          <w:sz w:val="32"/>
          <w:szCs w:val="32"/>
        </w:rPr>
      </w:pPr>
    </w:p>
    <w:p>
      <w:pPr>
        <w:rPr>
          <w:rFonts w:hint="eastAsia" w:ascii="黑体" w:hAnsi="黑体" w:eastAsia="黑体" w:cs="黑体"/>
          <w:color w:val="auto"/>
        </w:rPr>
      </w:pPr>
    </w:p>
    <w:p>
      <w:pPr>
        <w:rPr>
          <w:rFonts w:hint="eastAsia" w:ascii="黑体" w:hAnsi="黑体" w:eastAsia="黑体" w:cs="黑体"/>
          <w:color w:val="auto"/>
        </w:rPr>
      </w:pPr>
    </w:p>
    <w:p>
      <w:pPr>
        <w:rPr>
          <w:rFonts w:hint="eastAsia" w:ascii="黑体" w:hAnsi="黑体" w:eastAsia="黑体" w:cs="黑体"/>
          <w:color w:val="auto"/>
        </w:rPr>
      </w:pPr>
    </w:p>
    <w:p>
      <w:pPr>
        <w:rPr>
          <w:rFonts w:hint="eastAsia" w:ascii="黑体" w:hAnsi="黑体" w:eastAsia="黑体" w:cs="黑体"/>
          <w:color w:val="auto"/>
        </w:rPr>
      </w:pPr>
    </w:p>
    <w:p>
      <w:pPr>
        <w:rPr>
          <w:rFonts w:hint="eastAsia" w:ascii="黑体" w:hAnsi="黑体" w:eastAsia="黑体" w:cs="黑体"/>
          <w:color w:val="auto"/>
        </w:rPr>
      </w:pPr>
    </w:p>
    <w:p>
      <w:pPr>
        <w:rPr>
          <w:rFonts w:hint="eastAsia" w:ascii="黑体" w:hAnsi="黑体" w:eastAsia="黑体" w:cs="黑体"/>
          <w:color w:val="auto"/>
        </w:rPr>
      </w:pPr>
    </w:p>
    <w:p>
      <w:pPr>
        <w:rPr>
          <w:rFonts w:hint="eastAsia" w:ascii="黑体" w:hAnsi="黑体" w:eastAsia="黑体" w:cs="黑体"/>
          <w:color w:val="auto"/>
        </w:rPr>
      </w:pPr>
    </w:p>
    <w:p>
      <w:pPr>
        <w:pStyle w:val="2"/>
        <w:rPr>
          <w:rFonts w:hint="eastAsia" w:ascii="黑体" w:hAnsi="黑体" w:eastAsia="黑体" w:cs="黑体"/>
          <w:color w:val="auto"/>
        </w:rPr>
      </w:pPr>
    </w:p>
    <w:p>
      <w:pPr>
        <w:pStyle w:val="2"/>
        <w:rPr>
          <w:rFonts w:hint="eastAsia" w:ascii="黑体" w:hAnsi="黑体" w:eastAsia="黑体" w:cs="黑体"/>
          <w:color w:val="auto"/>
        </w:rPr>
      </w:pPr>
    </w:p>
    <w:p>
      <w:pPr>
        <w:pStyle w:val="2"/>
        <w:rPr>
          <w:rFonts w:hint="eastAsia" w:ascii="黑体" w:hAnsi="黑体" w:eastAsia="黑体" w:cs="黑体"/>
          <w:color w:val="auto"/>
        </w:rPr>
      </w:pPr>
    </w:p>
    <w:p>
      <w:pPr>
        <w:rPr>
          <w:rFonts w:hint="default" w:ascii="黑体" w:hAnsi="黑体" w:eastAsia="黑体" w:cs="黑体"/>
          <w:color w:val="auto"/>
          <w:lang w:val="en-US" w:eastAsia="zh-CN"/>
        </w:rPr>
      </w:pPr>
      <w:r>
        <w:rPr>
          <w:rFonts w:hint="eastAsia" w:ascii="黑体" w:hAnsi="黑体" w:eastAsia="黑体" w:cs="黑体"/>
          <w:color w:val="auto"/>
        </w:rPr>
        <w:t>附</w:t>
      </w:r>
      <w:r>
        <w:rPr>
          <w:rFonts w:hint="eastAsia" w:ascii="黑体" w:hAnsi="黑体" w:eastAsia="黑体" w:cs="黑体"/>
          <w:color w:val="auto"/>
          <w:lang w:eastAsia="zh-CN"/>
        </w:rPr>
        <w:t>件</w:t>
      </w:r>
    </w:p>
    <w:p>
      <w:pPr>
        <w:spacing w:line="600" w:lineRule="exact"/>
        <w:ind w:right="210"/>
        <w:jc w:val="center"/>
        <w:rPr>
          <w:rFonts w:eastAsia="方正小标宋简体"/>
          <w:color w:val="auto"/>
          <w:sz w:val="44"/>
          <w:szCs w:val="44"/>
        </w:rPr>
      </w:pPr>
      <w:r>
        <w:rPr>
          <w:rFonts w:hint="eastAsia" w:eastAsia="方正小标宋简体"/>
          <w:color w:val="auto"/>
          <w:sz w:val="44"/>
          <w:szCs w:val="44"/>
        </w:rPr>
        <w:t>征收土地及养老保障情况表</w:t>
      </w:r>
    </w:p>
    <w:p>
      <w:pPr>
        <w:spacing w:line="600" w:lineRule="exact"/>
        <w:ind w:right="770"/>
        <w:jc w:val="righ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单位：亩、万元</w:t>
      </w:r>
    </w:p>
    <w:tbl>
      <w:tblPr>
        <w:tblStyle w:val="7"/>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72"/>
        <w:gridCol w:w="2182"/>
        <w:gridCol w:w="1731"/>
        <w:gridCol w:w="1841"/>
        <w:gridCol w:w="1880"/>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25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被征地单位</w:t>
            </w:r>
          </w:p>
        </w:tc>
        <w:tc>
          <w:tcPr>
            <w:tcW w:w="173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征收土地面积</w:t>
            </w:r>
          </w:p>
        </w:tc>
        <w:tc>
          <w:tcPr>
            <w:tcW w:w="184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其中属于被征地单位留用地面积</w:t>
            </w:r>
          </w:p>
        </w:tc>
        <w:tc>
          <w:tcPr>
            <w:tcW w:w="1880"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需计提征地社保费</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72" w:type="dxa"/>
            <w:vMerge w:val="restart"/>
            <w:tcBorders>
              <w:top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广州市</w:t>
            </w:r>
          </w:p>
          <w:p>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花都区</w:t>
            </w:r>
          </w:p>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花山镇</w:t>
            </w:r>
          </w:p>
        </w:tc>
        <w:tc>
          <w:tcPr>
            <w:tcW w:w="218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新和村经济联合社</w:t>
            </w:r>
          </w:p>
        </w:tc>
        <w:tc>
          <w:tcPr>
            <w:tcW w:w="173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8.9715</w:t>
            </w:r>
          </w:p>
        </w:tc>
        <w:tc>
          <w:tcPr>
            <w:tcW w:w="184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0.8160</w:t>
            </w:r>
          </w:p>
        </w:tc>
        <w:tc>
          <w:tcPr>
            <w:tcW w:w="18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val="en-US" w:eastAsia="zh-CN"/>
              </w:rPr>
            </w:pPr>
            <w:r>
              <w:rPr>
                <w:rFonts w:hint="eastAsia" w:ascii="宋体" w:hAnsi="宋体" w:eastAsia="宋体" w:cs="宋体"/>
                <w:i w:val="0"/>
                <w:iCs w:val="0"/>
                <w:color w:val="auto"/>
                <w:kern w:val="0"/>
                <w:sz w:val="22"/>
                <w:szCs w:val="22"/>
                <w:u w:val="none"/>
                <w:lang w:val="en-US" w:eastAsia="zh-CN" w:bidi="ar"/>
              </w:rPr>
              <w:t>17.46</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72" w:type="dxa"/>
            <w:vMerge w:val="continue"/>
            <w:tcBorders>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2182"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平西村经济联合社</w:t>
            </w:r>
          </w:p>
        </w:tc>
        <w:tc>
          <w:tcPr>
            <w:tcW w:w="173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6.2805</w:t>
            </w:r>
          </w:p>
        </w:tc>
        <w:tc>
          <w:tcPr>
            <w:tcW w:w="184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0</w:t>
            </w:r>
          </w:p>
        </w:tc>
        <w:tc>
          <w:tcPr>
            <w:tcW w:w="18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val="en-US" w:eastAsia="zh-CN"/>
              </w:rPr>
            </w:pPr>
            <w:r>
              <w:rPr>
                <w:rFonts w:hint="eastAsia" w:ascii="宋体" w:hAnsi="宋体" w:eastAsia="宋体" w:cs="宋体"/>
                <w:i w:val="0"/>
                <w:iCs w:val="0"/>
                <w:color w:val="auto"/>
                <w:kern w:val="0"/>
                <w:sz w:val="22"/>
                <w:szCs w:val="22"/>
                <w:u w:val="none"/>
                <w:lang w:val="en-US" w:eastAsia="zh-CN" w:bidi="ar"/>
              </w:rPr>
              <w:t>13.45</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254" w:type="dxa"/>
            <w:gridSpan w:val="2"/>
            <w:tcBorders>
              <w:top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合计</w:t>
            </w:r>
          </w:p>
        </w:tc>
        <w:tc>
          <w:tcPr>
            <w:tcW w:w="1731" w:type="dxa"/>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15.2520</w:t>
            </w:r>
          </w:p>
        </w:tc>
        <w:tc>
          <w:tcPr>
            <w:tcW w:w="184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0.8160</w:t>
            </w:r>
          </w:p>
        </w:tc>
        <w:tc>
          <w:tcPr>
            <w:tcW w:w="18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val="en-US" w:eastAsia="zh-CN"/>
              </w:rPr>
            </w:pPr>
            <w:r>
              <w:rPr>
                <w:rFonts w:hint="eastAsia" w:ascii="宋体" w:hAnsi="宋体" w:eastAsia="宋体" w:cs="宋体"/>
                <w:i w:val="0"/>
                <w:iCs w:val="0"/>
                <w:color w:val="auto"/>
                <w:kern w:val="0"/>
                <w:sz w:val="22"/>
                <w:szCs w:val="22"/>
                <w:u w:val="none"/>
                <w:lang w:val="en-US" w:eastAsia="zh-CN" w:bidi="ar"/>
              </w:rPr>
              <w:t>30.91</w:t>
            </w:r>
          </w:p>
        </w:tc>
      </w:tr>
    </w:tbl>
    <w:p>
      <w:pPr>
        <w:spacing w:line="320" w:lineRule="exact"/>
        <w:ind w:right="210"/>
        <w:jc w:val="left"/>
        <w:rPr>
          <w:rFonts w:hint="eastAsia"/>
          <w:color w:val="auto"/>
          <w:sz w:val="24"/>
          <w:szCs w:val="28"/>
        </w:rPr>
      </w:pPr>
      <w:r>
        <w:rPr>
          <w:rFonts w:hint="eastAsia"/>
          <w:color w:val="auto"/>
          <w:sz w:val="24"/>
          <w:szCs w:val="28"/>
          <w:lang w:eastAsia="zh-CN"/>
        </w:rPr>
        <w:t>备注：</w:t>
      </w:r>
      <w:r>
        <w:rPr>
          <w:rFonts w:hint="eastAsia"/>
          <w:color w:val="auto"/>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pPr>
        <w:rPr>
          <w:color w:val="auto"/>
        </w:rPr>
      </w:pPr>
    </w:p>
    <w:p>
      <w:pPr>
        <w:pStyle w:val="2"/>
        <w:rPr>
          <w:color w:val="auto"/>
        </w:rPr>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28E33DF"/>
    <w:rsid w:val="033451DB"/>
    <w:rsid w:val="06144AD1"/>
    <w:rsid w:val="08464AE7"/>
    <w:rsid w:val="08EC2A03"/>
    <w:rsid w:val="093A3CC5"/>
    <w:rsid w:val="0B9B6E50"/>
    <w:rsid w:val="0C1E49CC"/>
    <w:rsid w:val="0CE91961"/>
    <w:rsid w:val="0DEEA1F0"/>
    <w:rsid w:val="0E3140D7"/>
    <w:rsid w:val="0FBC6CA4"/>
    <w:rsid w:val="12341E88"/>
    <w:rsid w:val="13714D70"/>
    <w:rsid w:val="15CE692B"/>
    <w:rsid w:val="18A233DB"/>
    <w:rsid w:val="19E21F71"/>
    <w:rsid w:val="1B6337E0"/>
    <w:rsid w:val="20B67655"/>
    <w:rsid w:val="211F0DDA"/>
    <w:rsid w:val="215E252F"/>
    <w:rsid w:val="23141564"/>
    <w:rsid w:val="28702BCD"/>
    <w:rsid w:val="2A015B73"/>
    <w:rsid w:val="2B972895"/>
    <w:rsid w:val="2DAF2E8F"/>
    <w:rsid w:val="2DEF62F4"/>
    <w:rsid w:val="2F1903FA"/>
    <w:rsid w:val="34DF2359"/>
    <w:rsid w:val="35F746F3"/>
    <w:rsid w:val="36EF346B"/>
    <w:rsid w:val="383071EA"/>
    <w:rsid w:val="38813E6C"/>
    <w:rsid w:val="39751ECE"/>
    <w:rsid w:val="39831A8C"/>
    <w:rsid w:val="3A09021C"/>
    <w:rsid w:val="3A9535F9"/>
    <w:rsid w:val="3CFF5EF7"/>
    <w:rsid w:val="3DAA0446"/>
    <w:rsid w:val="3E3629B5"/>
    <w:rsid w:val="3EA022D5"/>
    <w:rsid w:val="3F6655A0"/>
    <w:rsid w:val="3F9BBD6E"/>
    <w:rsid w:val="3FFDBD33"/>
    <w:rsid w:val="401160FF"/>
    <w:rsid w:val="40736F4A"/>
    <w:rsid w:val="42A07318"/>
    <w:rsid w:val="42AE5403"/>
    <w:rsid w:val="450C1F37"/>
    <w:rsid w:val="4A8B480A"/>
    <w:rsid w:val="4C363821"/>
    <w:rsid w:val="56293227"/>
    <w:rsid w:val="57B071EF"/>
    <w:rsid w:val="57C7E304"/>
    <w:rsid w:val="595E5E5B"/>
    <w:rsid w:val="5A666CB6"/>
    <w:rsid w:val="5D7072F6"/>
    <w:rsid w:val="5D722B54"/>
    <w:rsid w:val="5DDB6CB6"/>
    <w:rsid w:val="5F5E21EE"/>
    <w:rsid w:val="5FE43DCD"/>
    <w:rsid w:val="614340C8"/>
    <w:rsid w:val="64127CE3"/>
    <w:rsid w:val="64374311"/>
    <w:rsid w:val="647F43E7"/>
    <w:rsid w:val="65A9621A"/>
    <w:rsid w:val="66177D25"/>
    <w:rsid w:val="6910044C"/>
    <w:rsid w:val="69B87A02"/>
    <w:rsid w:val="6FF9F39F"/>
    <w:rsid w:val="6FFB9958"/>
    <w:rsid w:val="72270D40"/>
    <w:rsid w:val="72C048A2"/>
    <w:rsid w:val="737FF138"/>
    <w:rsid w:val="7451241A"/>
    <w:rsid w:val="748706FC"/>
    <w:rsid w:val="74AF1E51"/>
    <w:rsid w:val="775AC795"/>
    <w:rsid w:val="777FA5BE"/>
    <w:rsid w:val="77FB2D2A"/>
    <w:rsid w:val="79A963F5"/>
    <w:rsid w:val="79E3CDD2"/>
    <w:rsid w:val="7A301722"/>
    <w:rsid w:val="7A4A27FD"/>
    <w:rsid w:val="7BFFFF5C"/>
    <w:rsid w:val="7C1546B9"/>
    <w:rsid w:val="7C376A40"/>
    <w:rsid w:val="7C9FDE54"/>
    <w:rsid w:val="7D384D60"/>
    <w:rsid w:val="7D7D4211"/>
    <w:rsid w:val="7DF30E5A"/>
    <w:rsid w:val="7DFD7E4B"/>
    <w:rsid w:val="7F7915C0"/>
    <w:rsid w:val="7F9A7F94"/>
    <w:rsid w:val="7FF44637"/>
    <w:rsid w:val="7FFF9DF4"/>
    <w:rsid w:val="9FEFF522"/>
    <w:rsid w:val="9FF68742"/>
    <w:rsid w:val="B2E9B95C"/>
    <w:rsid w:val="B6DF6E23"/>
    <w:rsid w:val="B9CD4D2D"/>
    <w:rsid w:val="BDFC218B"/>
    <w:rsid w:val="CA5FEEC6"/>
    <w:rsid w:val="CEE980B6"/>
    <w:rsid w:val="D7CE1413"/>
    <w:rsid w:val="DDF7103C"/>
    <w:rsid w:val="DEFEB4A5"/>
    <w:rsid w:val="E75F0F27"/>
    <w:rsid w:val="F3FF72C5"/>
    <w:rsid w:val="F6DBB5BF"/>
    <w:rsid w:val="F7AE0030"/>
    <w:rsid w:val="FDFB98E0"/>
    <w:rsid w:val="FED73428"/>
    <w:rsid w:val="FFCFD59B"/>
    <w:rsid w:val="FFF7F5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font11"/>
    <w:basedOn w:val="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2021-11-15T06:53:00Z</dcterms:created>
  <dc:creator>小灵通</dc:creator>
  <cp:lastModifiedBy>dukai</cp:lastModifiedBy>
  <cp:lastPrinted>2022-01-09T07:55:00Z</cp:lastPrinted>
  <dcterms:modified xsi:type="dcterms:W3CDTF">2026-05-14T02:36:23Z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0596A25B53104600A6FE465086F9EA59_13</vt:lpwstr>
  </property>
</Properties>
</file>